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92" w:rsidRDefault="002725BE" w:rsidP="002725BE">
      <w:pPr>
        <w:pStyle w:val="Title"/>
      </w:pPr>
      <w:r>
        <w:t>Privacy en gegevensbeheer</w:t>
      </w:r>
    </w:p>
    <w:p w:rsidR="002725BE" w:rsidRDefault="002725BE" w:rsidP="002725BE"/>
    <w:p w:rsidR="002B094C" w:rsidRPr="0073046A" w:rsidRDefault="00156A90" w:rsidP="0073046A">
      <w:r>
        <w:t>Dit regelement</w:t>
      </w:r>
      <w:r w:rsidR="0073046A">
        <w:t xml:space="preserve"> geeft de a</w:t>
      </w:r>
      <w:r w:rsidR="002725BE">
        <w:t>lgemene afspraken rondom privacy en gegevensbeheer</w:t>
      </w:r>
      <w:r w:rsidR="0073046A">
        <w:t xml:space="preserve"> weer</w:t>
      </w:r>
      <w:r w:rsidR="002725BE">
        <w:t>.  Deze afs</w:t>
      </w:r>
      <w:r w:rsidR="0073046A">
        <w:t>praken zijn conform de standpunten van de NHG</w:t>
      </w:r>
      <w:r w:rsidR="002725BE">
        <w:t>.</w:t>
      </w:r>
      <w:r w:rsidR="002B094C">
        <w:t xml:space="preserve"> Het gedeelte met afspraken</w:t>
      </w:r>
      <w:r w:rsidR="00245669">
        <w:t xml:space="preserve"> rondom minderjarige kinderen en s</w:t>
      </w:r>
      <w:r w:rsidR="002B094C">
        <w:t xml:space="preserve">ituaties in geval van scheiding is een samenvatting van een aanvulling opgesteld door de KNMG. De afspraken en </w:t>
      </w:r>
      <w:bookmarkStart w:id="0" w:name="_GoBack"/>
      <w:bookmarkEnd w:id="0"/>
      <w:r w:rsidR="002B094C">
        <w:t>uitgangspunten rondom het elektronisch patiëntendossier zijn een samenvatting van de richtlijn opgesteld door de NHG en LHV.</w:t>
      </w:r>
    </w:p>
    <w:p w:rsidR="002725BE" w:rsidRDefault="002725BE" w:rsidP="002725BE">
      <w:pPr>
        <w:pStyle w:val="Heading1"/>
      </w:pPr>
      <w:r>
        <w:t>Algemene afspraken rondom privacy en gegevensbeheer</w:t>
      </w:r>
    </w:p>
    <w:p w:rsidR="002725BE" w:rsidRDefault="002B094C" w:rsidP="002725BE">
      <w:pPr>
        <w:rPr>
          <w:b/>
          <w:bCs/>
        </w:rPr>
      </w:pPr>
      <w:r>
        <w:br/>
      </w:r>
      <w:r w:rsidR="002725BE" w:rsidRPr="002725BE">
        <w:rPr>
          <w:rFonts w:ascii="Calibri" w:eastAsia="Calibri" w:hAnsi="Calibri" w:cs="Times New Roman"/>
          <w:b/>
          <w:bCs/>
        </w:rPr>
        <w:t>Verzamelen en verwerken van patiëntgegevens</w:t>
      </w:r>
    </w:p>
    <w:p w:rsidR="002725BE" w:rsidRPr="002725BE" w:rsidRDefault="002725BE" w:rsidP="002725BE">
      <w:pPr>
        <w:pStyle w:val="ListParagraph"/>
        <w:numPr>
          <w:ilvl w:val="0"/>
          <w:numId w:val="11"/>
        </w:numPr>
        <w:rPr>
          <w:b/>
          <w:bCs/>
        </w:rPr>
      </w:pPr>
      <w:r w:rsidRPr="002725BE">
        <w:rPr>
          <w:rFonts w:ascii="Calibri" w:eastAsia="Calibri" w:hAnsi="Calibri" w:cs="Times New Roman"/>
        </w:rPr>
        <w:t>Patiëntgegevens worden op een behoorlijke en zorgvuldige wijze verwerkt, en alleen voor de doeleinden waarvoor ze zijn of worden verzameld.</w:t>
      </w:r>
    </w:p>
    <w:p w:rsidR="002725BE" w:rsidRPr="002725BE" w:rsidRDefault="002725BE" w:rsidP="002725BE">
      <w:pPr>
        <w:pStyle w:val="ListParagraph"/>
        <w:numPr>
          <w:ilvl w:val="0"/>
          <w:numId w:val="11"/>
        </w:numPr>
        <w:rPr>
          <w:b/>
          <w:bCs/>
        </w:rPr>
      </w:pPr>
      <w:r w:rsidRPr="002725BE">
        <w:rPr>
          <w:rFonts w:ascii="Calibri" w:eastAsia="Calibri" w:hAnsi="Calibri" w:cs="Times New Roman"/>
        </w:rPr>
        <w:t>Gegevens kunnen worden verzameld tijdens consulten, behandelingen of anderszins.</w:t>
      </w:r>
    </w:p>
    <w:p w:rsidR="002725BE" w:rsidRPr="002725BE" w:rsidRDefault="002725BE" w:rsidP="002725BE">
      <w:pPr>
        <w:pStyle w:val="ListParagraph"/>
        <w:numPr>
          <w:ilvl w:val="0"/>
          <w:numId w:val="11"/>
        </w:numPr>
        <w:rPr>
          <w:b/>
          <w:bCs/>
        </w:rPr>
      </w:pPr>
      <w:r w:rsidRPr="002725BE">
        <w:rPr>
          <w:rFonts w:ascii="Calibri" w:eastAsia="Calibri" w:hAnsi="Calibri" w:cs="Times New Roman"/>
        </w:rPr>
        <w:t>Doeleinden zijn:</w:t>
      </w:r>
    </w:p>
    <w:p w:rsidR="002725BE" w:rsidRPr="002725BE" w:rsidRDefault="002725BE" w:rsidP="002725BE">
      <w:pPr>
        <w:pStyle w:val="ListParagraph"/>
        <w:numPr>
          <w:ilvl w:val="1"/>
          <w:numId w:val="11"/>
        </w:numPr>
        <w:rPr>
          <w:b/>
          <w:bCs/>
        </w:rPr>
      </w:pPr>
      <w:r w:rsidRPr="002725BE">
        <w:rPr>
          <w:rFonts w:ascii="Calibri" w:eastAsia="Calibri" w:hAnsi="Calibri" w:cs="Times New Roman"/>
        </w:rPr>
        <w:t>gebruik in het kader van de te verlenen zorg (met name behandeling, consult, medicatie,</w:t>
      </w:r>
      <w:r>
        <w:t xml:space="preserve"> doorverwijzing, overdracht)</w:t>
      </w:r>
    </w:p>
    <w:p w:rsidR="002725BE" w:rsidRPr="002725BE" w:rsidRDefault="002725BE" w:rsidP="002725BE">
      <w:pPr>
        <w:pStyle w:val="ListParagraph"/>
        <w:numPr>
          <w:ilvl w:val="1"/>
          <w:numId w:val="11"/>
        </w:numPr>
        <w:rPr>
          <w:b/>
          <w:bCs/>
        </w:rPr>
      </w:pPr>
      <w:r w:rsidRPr="002725BE">
        <w:rPr>
          <w:rFonts w:ascii="Calibri" w:eastAsia="Calibri" w:hAnsi="Calibri" w:cs="Times New Roman"/>
        </w:rPr>
        <w:t>gebruik voor de bewaking van de eigen kwalite</w:t>
      </w:r>
      <w:r>
        <w:t>it en de praktijkaccreditering</w:t>
      </w:r>
    </w:p>
    <w:p w:rsidR="002725BE" w:rsidRPr="002725BE" w:rsidRDefault="002725BE" w:rsidP="002725BE">
      <w:pPr>
        <w:pStyle w:val="ListParagraph"/>
        <w:numPr>
          <w:ilvl w:val="1"/>
          <w:numId w:val="11"/>
        </w:numPr>
        <w:rPr>
          <w:rFonts w:ascii="Calibri" w:eastAsia="Calibri" w:hAnsi="Calibri" w:cs="Times New Roman"/>
          <w:b/>
          <w:bCs/>
        </w:rPr>
      </w:pPr>
      <w:r w:rsidRPr="002725BE">
        <w:rPr>
          <w:rFonts w:ascii="Calibri" w:eastAsia="Calibri" w:hAnsi="Calibri" w:cs="Times New Roman"/>
        </w:rPr>
        <w:t>andere doeleinden, mits voora</w:t>
      </w:r>
      <w:r>
        <w:t>f met de patiënt overeengekomen</w:t>
      </w:r>
    </w:p>
    <w:p w:rsidR="002725BE" w:rsidRPr="002725BE" w:rsidRDefault="002725BE" w:rsidP="002725BE">
      <w:pPr>
        <w:pStyle w:val="NoSpacing"/>
        <w:rPr>
          <w:rFonts w:ascii="Calibri" w:eastAsia="Calibri" w:hAnsi="Calibri" w:cs="Times New Roman"/>
          <w:b/>
        </w:rPr>
      </w:pPr>
    </w:p>
    <w:p w:rsidR="002725BE" w:rsidRDefault="002725BE" w:rsidP="002725BE">
      <w:pPr>
        <w:pStyle w:val="NoSpacing"/>
        <w:rPr>
          <w:b/>
        </w:rPr>
      </w:pPr>
      <w:r w:rsidRPr="002725BE">
        <w:rPr>
          <w:rFonts w:ascii="Calibri" w:eastAsia="Calibri" w:hAnsi="Calibri" w:cs="Times New Roman"/>
          <w:b/>
        </w:rPr>
        <w:t>Verwerking van algemene patiëntgegevens, gezondheidsgegevens, erfelijke gegevens</w:t>
      </w:r>
    </w:p>
    <w:p w:rsidR="002725BE" w:rsidRPr="002725BE" w:rsidRDefault="002725BE" w:rsidP="002725BE">
      <w:pPr>
        <w:pStyle w:val="NoSpacing"/>
        <w:rPr>
          <w:rFonts w:ascii="Calibri" w:eastAsia="Calibri" w:hAnsi="Calibri" w:cs="Times New Roman"/>
          <w:b/>
        </w:rPr>
      </w:pPr>
    </w:p>
    <w:p w:rsidR="002725BE" w:rsidRPr="002725BE" w:rsidRDefault="002725BE" w:rsidP="002725BE">
      <w:pPr>
        <w:pStyle w:val="NoSpacing"/>
        <w:numPr>
          <w:ilvl w:val="0"/>
          <w:numId w:val="12"/>
        </w:numPr>
        <w:rPr>
          <w:rFonts w:ascii="Calibri" w:eastAsia="Calibri" w:hAnsi="Calibri" w:cs="Times New Roman"/>
          <w:b/>
        </w:rPr>
      </w:pPr>
      <w:r w:rsidRPr="002725BE">
        <w:rPr>
          <w:rFonts w:ascii="Calibri" w:eastAsia="Calibri" w:hAnsi="Calibri" w:cs="Times New Roman"/>
        </w:rPr>
        <w:t>Patiënten worden geïnformeerd over de verzameling en verwerking van gegevens door de praktijk bij de eerste inschrijving van de patiënt bij de praktijk.</w:t>
      </w:r>
    </w:p>
    <w:p w:rsidR="002725BE" w:rsidRPr="002725BE" w:rsidRDefault="002725BE" w:rsidP="002725BE">
      <w:pPr>
        <w:pStyle w:val="NoSpacing"/>
        <w:numPr>
          <w:ilvl w:val="0"/>
          <w:numId w:val="12"/>
        </w:numPr>
        <w:rPr>
          <w:rFonts w:ascii="Calibri" w:eastAsia="Calibri" w:hAnsi="Calibri" w:cs="Times New Roman"/>
          <w:b/>
        </w:rPr>
      </w:pPr>
      <w:r w:rsidRPr="002725BE">
        <w:rPr>
          <w:rFonts w:ascii="Calibri" w:eastAsia="Calibri" w:hAnsi="Calibri" w:cs="Times New Roman"/>
        </w:rPr>
        <w:t>Algemene patiëntgegevens worden alleen</w:t>
      </w:r>
      <w:r>
        <w:t xml:space="preserve"> </w:t>
      </w:r>
      <w:r w:rsidRPr="002725BE">
        <w:rPr>
          <w:rFonts w:ascii="Calibri" w:eastAsia="Calibri" w:hAnsi="Calibri" w:cs="Times New Roman"/>
        </w:rPr>
        <w:t xml:space="preserve">in de praktijk verwerkt, indien aan een van onderstaande voorwaarden is voldaan: </w:t>
      </w:r>
    </w:p>
    <w:p w:rsidR="002725BE" w:rsidRPr="002725BE" w:rsidRDefault="002725BE" w:rsidP="002725BE">
      <w:pPr>
        <w:pStyle w:val="NoSpacing"/>
        <w:numPr>
          <w:ilvl w:val="1"/>
          <w:numId w:val="12"/>
        </w:numPr>
        <w:rPr>
          <w:rFonts w:ascii="Calibri" w:eastAsia="Calibri" w:hAnsi="Calibri" w:cs="Times New Roman"/>
        </w:rPr>
      </w:pPr>
      <w:r w:rsidRPr="002725BE">
        <w:rPr>
          <w:rFonts w:ascii="Calibri" w:eastAsia="Calibri" w:hAnsi="Calibri" w:cs="Times New Roman"/>
        </w:rPr>
        <w:t xml:space="preserve">de patiënt heeft voor de verwerking toestemming (mondeling of schriftelijk) </w:t>
      </w:r>
      <w:r>
        <w:t>verleend</w:t>
      </w:r>
    </w:p>
    <w:p w:rsidR="002725BE" w:rsidRPr="002725BE" w:rsidRDefault="002725BE" w:rsidP="002725BE">
      <w:pPr>
        <w:pStyle w:val="NoSpacing"/>
        <w:numPr>
          <w:ilvl w:val="1"/>
          <w:numId w:val="12"/>
        </w:numPr>
        <w:rPr>
          <w:rFonts w:ascii="Calibri" w:eastAsia="Calibri" w:hAnsi="Calibri" w:cs="Times New Roman"/>
        </w:rPr>
      </w:pPr>
      <w:r w:rsidRPr="002725BE">
        <w:rPr>
          <w:rFonts w:ascii="Calibri" w:eastAsia="Calibri" w:hAnsi="Calibri" w:cs="Times New Roman"/>
        </w:rPr>
        <w:t xml:space="preserve">verwerking is noodzakelijk voor de verlening van huisartsgeneeskundige zorg aan de </w:t>
      </w:r>
      <w:r>
        <w:t>patiënt</w:t>
      </w:r>
    </w:p>
    <w:p w:rsidR="002725BE" w:rsidRPr="002725BE" w:rsidRDefault="002725BE" w:rsidP="002725BE">
      <w:pPr>
        <w:pStyle w:val="NoSpacing"/>
        <w:numPr>
          <w:ilvl w:val="1"/>
          <w:numId w:val="12"/>
        </w:numPr>
        <w:rPr>
          <w:rFonts w:ascii="Calibri" w:eastAsia="Calibri" w:hAnsi="Calibri" w:cs="Times New Roman"/>
        </w:rPr>
      </w:pPr>
      <w:r w:rsidRPr="002725BE">
        <w:rPr>
          <w:rFonts w:ascii="Calibri" w:eastAsia="Calibri" w:hAnsi="Calibri" w:cs="Times New Roman"/>
        </w:rPr>
        <w:t>verwerking is noodzakelijk is om een wett</w:t>
      </w:r>
      <w:r>
        <w:t>elijke verplichting na te komen</w:t>
      </w:r>
    </w:p>
    <w:p w:rsidR="002725BE" w:rsidRPr="002725BE" w:rsidRDefault="002725BE" w:rsidP="002725BE">
      <w:pPr>
        <w:pStyle w:val="NoSpacing"/>
        <w:numPr>
          <w:ilvl w:val="1"/>
          <w:numId w:val="12"/>
        </w:numPr>
        <w:rPr>
          <w:rFonts w:ascii="Calibri" w:eastAsia="Calibri" w:hAnsi="Calibri" w:cs="Times New Roman"/>
        </w:rPr>
      </w:pPr>
      <w:r w:rsidRPr="002725BE">
        <w:rPr>
          <w:rFonts w:ascii="Calibri" w:eastAsia="Calibri" w:hAnsi="Calibri" w:cs="Times New Roman"/>
        </w:rPr>
        <w:t xml:space="preserve">verwerking is  noodzakelijk ter bestrijding van ernstig gevaar voor de gezondheid van </w:t>
      </w:r>
      <w:r>
        <w:t>patiënt</w:t>
      </w:r>
    </w:p>
    <w:p w:rsidR="002725BE" w:rsidRPr="002725BE" w:rsidRDefault="002725BE" w:rsidP="002725BE">
      <w:pPr>
        <w:pStyle w:val="NoSpacing"/>
        <w:numPr>
          <w:ilvl w:val="0"/>
          <w:numId w:val="12"/>
        </w:numPr>
        <w:rPr>
          <w:rFonts w:ascii="Calibri" w:eastAsia="Calibri" w:hAnsi="Calibri" w:cs="Times New Roman"/>
        </w:rPr>
      </w:pPr>
      <w:r w:rsidRPr="002725BE">
        <w:rPr>
          <w:rFonts w:ascii="Calibri" w:eastAsia="Calibri" w:hAnsi="Calibri" w:cs="Times New Roman"/>
        </w:rPr>
        <w:t>Gezondheidsgegevens van de patiënt worden alleen verwerkt wanneer aan een van de volgende voorwaarden is voldaan:</w:t>
      </w:r>
    </w:p>
    <w:p w:rsidR="002725BE" w:rsidRPr="002725BE" w:rsidRDefault="002725BE" w:rsidP="00261821">
      <w:pPr>
        <w:pStyle w:val="NoSpacing"/>
        <w:numPr>
          <w:ilvl w:val="1"/>
          <w:numId w:val="12"/>
        </w:numPr>
        <w:rPr>
          <w:rFonts w:ascii="Calibri" w:eastAsia="Calibri" w:hAnsi="Calibri" w:cs="Times New Roman"/>
        </w:rPr>
      </w:pPr>
      <w:r w:rsidRPr="002725BE">
        <w:rPr>
          <w:rFonts w:ascii="Calibri" w:eastAsia="Calibri" w:hAnsi="Calibri" w:cs="Times New Roman"/>
        </w:rPr>
        <w:t>verwerking gebeurt door hulpverleners, instellingen of voorzieningen in de gezondheidszorg of maatschappelijke dienstverlening</w:t>
      </w:r>
      <w:r w:rsidR="00261821">
        <w:t xml:space="preserve"> </w:t>
      </w:r>
      <w:r w:rsidRPr="002725BE">
        <w:rPr>
          <w:rFonts w:ascii="Calibri" w:eastAsia="Calibri" w:hAnsi="Calibri" w:cs="Times New Roman"/>
        </w:rPr>
        <w:t>voor zover dat met het oog op een goede behandeling of</w:t>
      </w:r>
      <w:r>
        <w:t xml:space="preserve"> </w:t>
      </w:r>
      <w:r w:rsidRPr="002725BE">
        <w:rPr>
          <w:rFonts w:ascii="Calibri" w:eastAsia="Calibri" w:hAnsi="Calibri" w:cs="Times New Roman"/>
        </w:rPr>
        <w:t>verzorging</w:t>
      </w:r>
      <w:r>
        <w:t xml:space="preserve"> van de patiënt noodzakelijk is</w:t>
      </w:r>
    </w:p>
    <w:p w:rsidR="002725BE" w:rsidRPr="002725BE" w:rsidRDefault="002725BE" w:rsidP="00261821">
      <w:pPr>
        <w:pStyle w:val="NoSpacing"/>
        <w:numPr>
          <w:ilvl w:val="1"/>
          <w:numId w:val="12"/>
        </w:numPr>
        <w:rPr>
          <w:rFonts w:ascii="Calibri" w:eastAsia="Calibri" w:hAnsi="Calibri" w:cs="Times New Roman"/>
        </w:rPr>
      </w:pPr>
      <w:r w:rsidRPr="002725BE">
        <w:rPr>
          <w:rFonts w:ascii="Calibri" w:eastAsia="Calibri" w:hAnsi="Calibri" w:cs="Times New Roman"/>
        </w:rPr>
        <w:t>verwerking gebeurt op verzoek van de verzekeraar zover dat noodzakelijk is voor de</w:t>
      </w:r>
    </w:p>
    <w:p w:rsidR="00261821" w:rsidRDefault="002725BE" w:rsidP="00261821">
      <w:pPr>
        <w:pStyle w:val="NoSpacing"/>
        <w:ind w:left="1418"/>
      </w:pPr>
      <w:r w:rsidRPr="002725BE">
        <w:rPr>
          <w:rFonts w:ascii="Calibri" w:eastAsia="Calibri" w:hAnsi="Calibri" w:cs="Times New Roman"/>
        </w:rPr>
        <w:t>beoordeling van het door de verzekeringsinstelling te verzekeren risico, dan wel voor zover</w:t>
      </w:r>
      <w:r w:rsidR="00261821">
        <w:t xml:space="preserve"> </w:t>
      </w:r>
      <w:r w:rsidRPr="002725BE">
        <w:rPr>
          <w:rFonts w:ascii="Calibri" w:eastAsia="Calibri" w:hAnsi="Calibri" w:cs="Times New Roman"/>
        </w:rPr>
        <w:t>dat noodzakelijk is voor de uitvoering v</w:t>
      </w:r>
      <w:r w:rsidR="00261821">
        <w:t>an een verzekeringsovereenkomst</w:t>
      </w:r>
    </w:p>
    <w:p w:rsidR="002725BE" w:rsidRPr="002725BE" w:rsidRDefault="002725BE" w:rsidP="00261821">
      <w:pPr>
        <w:pStyle w:val="NoSpacing"/>
        <w:numPr>
          <w:ilvl w:val="0"/>
          <w:numId w:val="16"/>
        </w:numPr>
        <w:rPr>
          <w:rFonts w:ascii="Calibri" w:eastAsia="Calibri" w:hAnsi="Calibri" w:cs="Times New Roman"/>
        </w:rPr>
      </w:pPr>
      <w:r w:rsidRPr="002725BE">
        <w:rPr>
          <w:rFonts w:ascii="Calibri" w:eastAsia="Calibri" w:hAnsi="Calibri" w:cs="Times New Roman"/>
        </w:rPr>
        <w:t>Erfelijkheidsgegevens van de patiënt worden alleen verwerkt in relatie tot de betreffende patiënt zelf, tenzij:</w:t>
      </w:r>
    </w:p>
    <w:p w:rsidR="002725BE" w:rsidRPr="002725BE" w:rsidRDefault="002725BE" w:rsidP="00261821">
      <w:pPr>
        <w:pStyle w:val="NoSpacing"/>
        <w:numPr>
          <w:ilvl w:val="1"/>
          <w:numId w:val="16"/>
        </w:numPr>
        <w:rPr>
          <w:rFonts w:ascii="Calibri" w:eastAsia="Calibri" w:hAnsi="Calibri" w:cs="Times New Roman"/>
        </w:rPr>
      </w:pPr>
      <w:r w:rsidRPr="002725BE">
        <w:rPr>
          <w:rFonts w:ascii="Calibri" w:eastAsia="Calibri" w:hAnsi="Calibri" w:cs="Times New Roman"/>
        </w:rPr>
        <w:lastRenderedPageBreak/>
        <w:t>een zwaarwegend geneeskundig belang prevaleert of</w:t>
      </w:r>
    </w:p>
    <w:p w:rsidR="002725BE" w:rsidRPr="002725BE" w:rsidRDefault="002725BE" w:rsidP="00261821">
      <w:pPr>
        <w:pStyle w:val="NoSpacing"/>
        <w:numPr>
          <w:ilvl w:val="1"/>
          <w:numId w:val="16"/>
        </w:numPr>
        <w:rPr>
          <w:rFonts w:ascii="Calibri" w:eastAsia="Calibri" w:hAnsi="Calibri" w:cs="Times New Roman"/>
        </w:rPr>
      </w:pPr>
      <w:r w:rsidRPr="002725BE">
        <w:rPr>
          <w:rFonts w:ascii="Calibri" w:eastAsia="Calibri" w:hAnsi="Calibri" w:cs="Times New Roman"/>
        </w:rPr>
        <w:t>de verwerking noodzakelijk is voor wetenscha</w:t>
      </w:r>
      <w:r w:rsidR="00261821">
        <w:t>ppelijk onderzoek en statistiek</w:t>
      </w:r>
    </w:p>
    <w:p w:rsidR="002725BE" w:rsidRDefault="002725BE" w:rsidP="002725BE">
      <w:pPr>
        <w:pStyle w:val="NoSpacing"/>
      </w:pPr>
    </w:p>
    <w:p w:rsidR="00261821" w:rsidRPr="002725BE" w:rsidRDefault="00261821" w:rsidP="002725BE">
      <w:pPr>
        <w:pStyle w:val="NoSpacing"/>
        <w:rPr>
          <w:rFonts w:ascii="Calibri" w:eastAsia="Calibri" w:hAnsi="Calibri" w:cs="Times New Roman"/>
        </w:rPr>
      </w:pPr>
    </w:p>
    <w:p w:rsidR="002725BE" w:rsidRDefault="002725BE" w:rsidP="002725BE">
      <w:pPr>
        <w:pStyle w:val="NoSpacing"/>
        <w:rPr>
          <w:b/>
        </w:rPr>
      </w:pPr>
      <w:r w:rsidRPr="002725BE">
        <w:rPr>
          <w:rFonts w:ascii="Calibri" w:eastAsia="Calibri" w:hAnsi="Calibri" w:cs="Times New Roman"/>
          <w:b/>
        </w:rPr>
        <w:t>Organisatie van de informatiebeveiliging</w:t>
      </w:r>
    </w:p>
    <w:p w:rsidR="00261821" w:rsidRPr="002725BE" w:rsidRDefault="00261821" w:rsidP="002725BE">
      <w:pPr>
        <w:pStyle w:val="NoSpacing"/>
        <w:rPr>
          <w:rFonts w:ascii="Calibri" w:eastAsia="Calibri" w:hAnsi="Calibri" w:cs="Times New Roman"/>
          <w:b/>
        </w:rPr>
      </w:pPr>
    </w:p>
    <w:p w:rsidR="002725BE" w:rsidRPr="002725BE" w:rsidRDefault="002725BE" w:rsidP="002725BE">
      <w:pPr>
        <w:pStyle w:val="NoSpacing"/>
        <w:rPr>
          <w:rFonts w:ascii="Calibri" w:eastAsia="Calibri" w:hAnsi="Calibri" w:cs="Times New Roman"/>
        </w:rPr>
      </w:pPr>
      <w:r w:rsidRPr="002725BE">
        <w:rPr>
          <w:rFonts w:ascii="Calibri" w:eastAsia="Calibri" w:hAnsi="Calibri" w:cs="Times New Roman"/>
        </w:rPr>
        <w:t xml:space="preserve">Praktijk </w:t>
      </w:r>
      <w:r w:rsidR="00261821">
        <w:t>van den Berg &amp; Koelma</w:t>
      </w:r>
      <w:r w:rsidRPr="002725BE">
        <w:rPr>
          <w:rFonts w:ascii="Calibri" w:eastAsia="Calibri" w:hAnsi="Calibri" w:cs="Times New Roman"/>
        </w:rPr>
        <w:t xml:space="preserve"> heeft de volgende maatregelen genomen en werkafspraken gemaakt om zeker te stellen dat patiëntgegevens zorgvuldig </w:t>
      </w:r>
      <w:r w:rsidR="00261821">
        <w:t>worden behandeld:</w:t>
      </w:r>
    </w:p>
    <w:p w:rsidR="002725BE" w:rsidRPr="002725BE" w:rsidRDefault="002725BE" w:rsidP="00261821">
      <w:pPr>
        <w:pStyle w:val="NoSpacing"/>
        <w:numPr>
          <w:ilvl w:val="0"/>
          <w:numId w:val="21"/>
        </w:numPr>
        <w:ind w:left="709" w:hanging="283"/>
        <w:rPr>
          <w:rFonts w:ascii="Calibri" w:eastAsia="Calibri" w:hAnsi="Calibri" w:cs="Times New Roman"/>
        </w:rPr>
      </w:pPr>
      <w:r w:rsidRPr="002725BE">
        <w:rPr>
          <w:rFonts w:ascii="Calibri" w:eastAsia="Calibri" w:hAnsi="Calibri" w:cs="Times New Roman"/>
        </w:rPr>
        <w:t>Alle medewerkers die patiëntgegevens verwerken</w:t>
      </w:r>
      <w:r w:rsidR="00261821">
        <w:t xml:space="preserve"> of anderszins kennis nemen van </w:t>
      </w:r>
      <w:r w:rsidRPr="002725BE">
        <w:rPr>
          <w:rFonts w:ascii="Calibri" w:eastAsia="Calibri" w:hAnsi="Calibri" w:cs="Times New Roman"/>
        </w:rPr>
        <w:t>patiëntgegevens zijn gehouden aan geheimhouding</w:t>
      </w:r>
    </w:p>
    <w:p w:rsidR="002725BE" w:rsidRPr="002725BE" w:rsidRDefault="002725BE" w:rsidP="00261821">
      <w:pPr>
        <w:pStyle w:val="NoSpacing"/>
        <w:numPr>
          <w:ilvl w:val="0"/>
          <w:numId w:val="21"/>
        </w:numPr>
        <w:ind w:left="709" w:hanging="283"/>
        <w:rPr>
          <w:rFonts w:ascii="Calibri" w:eastAsia="Calibri" w:hAnsi="Calibri" w:cs="Times New Roman"/>
        </w:rPr>
      </w:pPr>
      <w:r w:rsidRPr="002725BE">
        <w:rPr>
          <w:rFonts w:ascii="Calibri" w:eastAsia="Calibri" w:hAnsi="Calibri" w:cs="Times New Roman"/>
        </w:rPr>
        <w:t>Patiëntgegevens worden niet langer bewaard dan nodig; medische gegevens worden in beginsel vijftien jaren bewaard, of zoveel langer als redelijkerwijs nodig om verantwoorde zorg te kunnen leveren</w:t>
      </w:r>
    </w:p>
    <w:p w:rsidR="002725BE" w:rsidRDefault="002725BE" w:rsidP="00261821">
      <w:pPr>
        <w:pStyle w:val="NoSpacing"/>
        <w:numPr>
          <w:ilvl w:val="0"/>
          <w:numId w:val="21"/>
        </w:numPr>
        <w:ind w:left="709" w:hanging="283"/>
      </w:pPr>
      <w:r w:rsidRPr="002725BE">
        <w:rPr>
          <w:rFonts w:ascii="Calibri" w:eastAsia="Calibri" w:hAnsi="Calibri" w:cs="Times New Roman"/>
        </w:rPr>
        <w:t>Alleen bevoegden hebben toegang tot de (digitale) gegevensbestanden van de praktijk; hiertoe zijn computers voorzien van een wachtwoord en de ruimten waarin gegevens worden opgeslagen niet vrij toegankelijk</w:t>
      </w:r>
    </w:p>
    <w:p w:rsidR="00261821" w:rsidRPr="002725BE" w:rsidRDefault="00261821" w:rsidP="00261821">
      <w:pPr>
        <w:pStyle w:val="NoSpacing"/>
        <w:ind w:left="709"/>
        <w:rPr>
          <w:rFonts w:ascii="Calibri" w:eastAsia="Calibri" w:hAnsi="Calibri" w:cs="Times New Roman"/>
        </w:rPr>
      </w:pPr>
    </w:p>
    <w:p w:rsidR="002725BE" w:rsidRPr="002725BE" w:rsidRDefault="002725BE" w:rsidP="002725BE">
      <w:pPr>
        <w:pStyle w:val="NoSpacing"/>
        <w:rPr>
          <w:rFonts w:ascii="Calibri" w:eastAsia="Calibri" w:hAnsi="Calibri" w:cs="Times New Roman"/>
        </w:rPr>
      </w:pPr>
    </w:p>
    <w:p w:rsidR="002725BE" w:rsidRDefault="002725BE" w:rsidP="002725BE">
      <w:pPr>
        <w:pStyle w:val="NoSpacing"/>
        <w:rPr>
          <w:b/>
        </w:rPr>
      </w:pPr>
      <w:r w:rsidRPr="002725BE">
        <w:rPr>
          <w:rFonts w:ascii="Calibri" w:eastAsia="Calibri" w:hAnsi="Calibri" w:cs="Times New Roman"/>
          <w:b/>
        </w:rPr>
        <w:t>Rechten van de patiënt</w:t>
      </w:r>
    </w:p>
    <w:p w:rsidR="00261821" w:rsidRPr="002725BE" w:rsidRDefault="00261821" w:rsidP="002725BE">
      <w:pPr>
        <w:pStyle w:val="NoSpacing"/>
        <w:rPr>
          <w:rFonts w:ascii="Calibri" w:eastAsia="Calibri" w:hAnsi="Calibri" w:cs="Times New Roman"/>
          <w:b/>
        </w:rPr>
      </w:pPr>
    </w:p>
    <w:p w:rsidR="002725BE" w:rsidRPr="002725BE" w:rsidRDefault="002725BE" w:rsidP="00261821">
      <w:pPr>
        <w:pStyle w:val="NoSpacing"/>
        <w:numPr>
          <w:ilvl w:val="0"/>
          <w:numId w:val="22"/>
        </w:numPr>
        <w:rPr>
          <w:rFonts w:ascii="Calibri" w:eastAsia="Calibri" w:hAnsi="Calibri" w:cs="Times New Roman"/>
        </w:rPr>
      </w:pPr>
      <w:r w:rsidRPr="002725BE">
        <w:rPr>
          <w:rFonts w:ascii="Calibri" w:eastAsia="Calibri" w:hAnsi="Calibri" w:cs="Times New Roman"/>
        </w:rPr>
        <w:t>De patiënt heeft recht op inzage in alle gegevens die over hem zijn verzameld en verwerkt</w:t>
      </w:r>
    </w:p>
    <w:p w:rsidR="002725BE" w:rsidRPr="002725BE" w:rsidRDefault="002725BE" w:rsidP="00261821">
      <w:pPr>
        <w:pStyle w:val="NoSpacing"/>
        <w:numPr>
          <w:ilvl w:val="0"/>
          <w:numId w:val="22"/>
        </w:numPr>
        <w:rPr>
          <w:rFonts w:ascii="Calibri" w:eastAsia="Calibri" w:hAnsi="Calibri" w:cs="Times New Roman"/>
        </w:rPr>
      </w:pPr>
      <w:r w:rsidRPr="002725BE">
        <w:rPr>
          <w:rFonts w:ascii="Calibri" w:eastAsia="Calibri" w:hAnsi="Calibri" w:cs="Times New Roman"/>
        </w:rPr>
        <w:t>De patiënt heeft recht op een afschrift van de over hem of haar verzamelde en verwerkte gegevens; de praktijk verstrekt een afschrift na een verzoek van de patiënt en de praktijk kan hiervoor eventueel een redelijke vergoeding vragen</w:t>
      </w:r>
    </w:p>
    <w:p w:rsidR="002725BE" w:rsidRPr="002725BE" w:rsidRDefault="002725BE" w:rsidP="00261821">
      <w:pPr>
        <w:pStyle w:val="NoSpacing"/>
        <w:numPr>
          <w:ilvl w:val="0"/>
          <w:numId w:val="22"/>
        </w:numPr>
        <w:rPr>
          <w:rFonts w:ascii="Calibri" w:eastAsia="Calibri" w:hAnsi="Calibri" w:cs="Times New Roman"/>
        </w:rPr>
      </w:pPr>
      <w:r w:rsidRPr="002725BE">
        <w:rPr>
          <w:rFonts w:ascii="Calibri" w:eastAsia="Calibri" w:hAnsi="Calibri" w:cs="Times New Roman"/>
        </w:rPr>
        <w:t>De patiënt kan verzoeken om aanvulling en/of correctie van de verzamelde en verwerkte gegevens, voor zover deze onvolledig en/of feitelijk onjuist zijn</w:t>
      </w:r>
    </w:p>
    <w:p w:rsidR="002725BE" w:rsidRPr="002725BE" w:rsidRDefault="002725BE" w:rsidP="00261821">
      <w:pPr>
        <w:pStyle w:val="NoSpacing"/>
        <w:numPr>
          <w:ilvl w:val="0"/>
          <w:numId w:val="22"/>
        </w:numPr>
        <w:rPr>
          <w:rFonts w:ascii="Calibri" w:eastAsia="Calibri" w:hAnsi="Calibri" w:cs="Times New Roman"/>
        </w:rPr>
      </w:pPr>
      <w:r w:rsidRPr="002725BE">
        <w:rPr>
          <w:rFonts w:ascii="Calibri" w:eastAsia="Calibri" w:hAnsi="Calibri" w:cs="Times New Roman"/>
        </w:rPr>
        <w:t>De patiënt kan verzoeken om verwijdering of beperkt gebruik van de verzamelde en verwerkte gegevens</w:t>
      </w:r>
    </w:p>
    <w:p w:rsidR="00261821" w:rsidRDefault="002725BE" w:rsidP="002725BE">
      <w:pPr>
        <w:pStyle w:val="NoSpacing"/>
        <w:numPr>
          <w:ilvl w:val="0"/>
          <w:numId w:val="22"/>
        </w:numPr>
      </w:pPr>
      <w:r w:rsidRPr="002725BE">
        <w:rPr>
          <w:rFonts w:ascii="Calibri" w:eastAsia="Calibri" w:hAnsi="Calibri" w:cs="Times New Roman"/>
        </w:rPr>
        <w:t>Recht op inzage of afschrift en verzoeken om aanvulling, correctie,beperkt gebruik of verwijdering kunnen door de praktijk worden geweigerd voor zover dit noodzakelijk is ter bescherming van een aanmerkelijk belang van een ander (waaronder de bescherming van de persoonlijke levenssfeer van die ander) en/of in geval bewaring op grond van een (wettelijk) voorschrift vereist is</w:t>
      </w:r>
    </w:p>
    <w:p w:rsidR="002725BE" w:rsidRPr="002725BE" w:rsidRDefault="00261821" w:rsidP="002725BE">
      <w:pPr>
        <w:pStyle w:val="NoSpacing"/>
        <w:numPr>
          <w:ilvl w:val="0"/>
          <w:numId w:val="22"/>
        </w:numPr>
        <w:rPr>
          <w:rFonts w:ascii="Calibri" w:eastAsia="Calibri" w:hAnsi="Calibri" w:cs="Times New Roman"/>
        </w:rPr>
      </w:pPr>
      <w:r w:rsidRPr="002725BE">
        <w:t xml:space="preserve"> </w:t>
      </w:r>
      <w:r w:rsidR="002725BE" w:rsidRPr="002725BE">
        <w:rPr>
          <w:rFonts w:ascii="Calibri" w:eastAsia="Calibri" w:hAnsi="Calibri" w:cs="Times New Roman"/>
        </w:rPr>
        <w:t>Wanneer de patiënt vindt dat dit reglement door de praktijk niet of onvoldoende wordt nageleefd, dan kan hij of zij een klacht indienen bij de praktijk</w:t>
      </w:r>
    </w:p>
    <w:p w:rsidR="002725BE" w:rsidRPr="002725BE" w:rsidRDefault="002725BE" w:rsidP="00261821">
      <w:pPr>
        <w:pStyle w:val="NoSpacing"/>
        <w:numPr>
          <w:ilvl w:val="0"/>
          <w:numId w:val="22"/>
        </w:numPr>
        <w:rPr>
          <w:rFonts w:ascii="Calibri" w:eastAsia="Calibri" w:hAnsi="Calibri" w:cs="Times New Roman"/>
        </w:rPr>
      </w:pPr>
      <w:r w:rsidRPr="002725BE">
        <w:rPr>
          <w:rFonts w:ascii="Calibri" w:eastAsia="Calibri" w:hAnsi="Calibri" w:cs="Times New Roman"/>
        </w:rPr>
        <w:t>Daar waar de patiënt zichzelf niet kan vertegenwoordigen, treedt de wettelijke vertegenwoordiger in zijn of haar plaats.</w:t>
      </w:r>
    </w:p>
    <w:p w:rsidR="002725BE" w:rsidRDefault="002725BE" w:rsidP="002725BE">
      <w:pPr>
        <w:pStyle w:val="NoSpacing"/>
      </w:pPr>
    </w:p>
    <w:p w:rsidR="00261821" w:rsidRPr="002725BE" w:rsidRDefault="00261821" w:rsidP="002725BE">
      <w:pPr>
        <w:pStyle w:val="NoSpacing"/>
        <w:rPr>
          <w:rFonts w:ascii="Calibri" w:eastAsia="Calibri" w:hAnsi="Calibri" w:cs="Times New Roman"/>
        </w:rPr>
      </w:pPr>
    </w:p>
    <w:p w:rsidR="00245669" w:rsidRPr="00245669" w:rsidRDefault="00245669" w:rsidP="002725BE">
      <w:pPr>
        <w:pStyle w:val="NoSpacing"/>
        <w:rPr>
          <w:b/>
        </w:rPr>
      </w:pPr>
      <w:r w:rsidRPr="00245669">
        <w:rPr>
          <w:b/>
        </w:rPr>
        <w:t xml:space="preserve">Kinderen en regels in geval van gescheiden ouders </w:t>
      </w:r>
    </w:p>
    <w:p w:rsidR="00245669" w:rsidRDefault="00245669" w:rsidP="002725BE">
      <w:pPr>
        <w:pStyle w:val="NoSpacing"/>
      </w:pPr>
    </w:p>
    <w:p w:rsidR="00245669" w:rsidRPr="00245669" w:rsidRDefault="00245669" w:rsidP="00245669">
      <w:pPr>
        <w:pStyle w:val="NoSpacing"/>
        <w:numPr>
          <w:ilvl w:val="0"/>
          <w:numId w:val="23"/>
        </w:numPr>
        <w:rPr>
          <w:rFonts w:ascii="Calibri" w:eastAsia="Calibri" w:hAnsi="Calibri" w:cs="Times New Roman"/>
          <w:b/>
        </w:rPr>
      </w:pPr>
      <w:r>
        <w:t>Tot de leeftijd van 16 jaar treden ouders op als wettelijk vertegenwoordiger over de medische behandeling van hun kinderen. Informatie aan de ouders kan worden geweigerd als het in strijd is met de belangen van het kind of als het kind nadrukkelijk bezwaar hiertegen heeft gemaakt</w:t>
      </w:r>
    </w:p>
    <w:p w:rsidR="00245669" w:rsidRPr="00245669" w:rsidRDefault="00245669" w:rsidP="00245669">
      <w:pPr>
        <w:pStyle w:val="NoSpacing"/>
        <w:numPr>
          <w:ilvl w:val="0"/>
          <w:numId w:val="23"/>
        </w:numPr>
        <w:rPr>
          <w:rFonts w:ascii="Calibri" w:eastAsia="Calibri" w:hAnsi="Calibri" w:cs="Times New Roman"/>
          <w:b/>
        </w:rPr>
      </w:pPr>
      <w:r>
        <w:t>In een aantal gevallen is geen toestemming van ouders nodig voor medische behandeling:</w:t>
      </w:r>
    </w:p>
    <w:p w:rsidR="00245669" w:rsidRPr="00245669" w:rsidRDefault="00245669" w:rsidP="00245669">
      <w:pPr>
        <w:pStyle w:val="NoSpacing"/>
        <w:numPr>
          <w:ilvl w:val="1"/>
          <w:numId w:val="23"/>
        </w:numPr>
        <w:rPr>
          <w:rFonts w:ascii="Calibri" w:eastAsia="Calibri" w:hAnsi="Calibri" w:cs="Times New Roman"/>
          <w:b/>
        </w:rPr>
      </w:pPr>
      <w:r>
        <w:t xml:space="preserve">Spoedgevallen </w:t>
      </w:r>
    </w:p>
    <w:p w:rsidR="00245669" w:rsidRPr="00245669" w:rsidRDefault="00245669" w:rsidP="00245669">
      <w:pPr>
        <w:pStyle w:val="NoSpacing"/>
        <w:numPr>
          <w:ilvl w:val="1"/>
          <w:numId w:val="23"/>
        </w:numPr>
        <w:rPr>
          <w:rFonts w:ascii="Calibri" w:eastAsia="Calibri" w:hAnsi="Calibri" w:cs="Times New Roman"/>
          <w:b/>
        </w:rPr>
      </w:pPr>
      <w:r>
        <w:t xml:space="preserve">Kind is 16 jaar of ouder </w:t>
      </w:r>
    </w:p>
    <w:p w:rsidR="00245669" w:rsidRPr="00245669" w:rsidRDefault="00245669" w:rsidP="00245669">
      <w:pPr>
        <w:pStyle w:val="NoSpacing"/>
        <w:numPr>
          <w:ilvl w:val="1"/>
          <w:numId w:val="23"/>
        </w:numPr>
        <w:rPr>
          <w:rFonts w:ascii="Calibri" w:eastAsia="Calibri" w:hAnsi="Calibri" w:cs="Times New Roman"/>
          <w:b/>
        </w:rPr>
      </w:pPr>
      <w:r>
        <w:t xml:space="preserve">Kind is 12-16 jaar, ouders weigeren behandeling, maar niet-behandelen zou ernstig nadeel voor het kind opleveren </w:t>
      </w:r>
    </w:p>
    <w:p w:rsidR="00245669" w:rsidRPr="00245669" w:rsidRDefault="00245669" w:rsidP="00245669">
      <w:pPr>
        <w:pStyle w:val="NoSpacing"/>
        <w:numPr>
          <w:ilvl w:val="0"/>
          <w:numId w:val="23"/>
        </w:numPr>
        <w:rPr>
          <w:rFonts w:ascii="Calibri" w:eastAsia="Calibri" w:hAnsi="Calibri" w:cs="Times New Roman"/>
          <w:b/>
        </w:rPr>
      </w:pPr>
      <w:r>
        <w:lastRenderedPageBreak/>
        <w:t xml:space="preserve">In de laatste 2 gevallen kan de arts afzien van informatieverstrekking aan de ouders, als dat in strijd is met het belang van het kind </w:t>
      </w:r>
    </w:p>
    <w:p w:rsidR="00245669" w:rsidRPr="00245669" w:rsidRDefault="00245669" w:rsidP="00245669">
      <w:pPr>
        <w:pStyle w:val="NoSpacing"/>
        <w:numPr>
          <w:ilvl w:val="0"/>
          <w:numId w:val="23"/>
        </w:numPr>
        <w:rPr>
          <w:rFonts w:ascii="Calibri" w:eastAsia="Calibri" w:hAnsi="Calibri" w:cs="Times New Roman"/>
          <w:b/>
        </w:rPr>
      </w:pPr>
      <w:r>
        <w:t xml:space="preserve">In de regel houden ouders na een scheiding gezamenlijk gezag </w:t>
      </w:r>
    </w:p>
    <w:p w:rsidR="00245669" w:rsidRPr="00245669" w:rsidRDefault="00245669" w:rsidP="00245669">
      <w:pPr>
        <w:pStyle w:val="NoSpacing"/>
        <w:numPr>
          <w:ilvl w:val="0"/>
          <w:numId w:val="23"/>
        </w:numPr>
        <w:rPr>
          <w:rFonts w:ascii="Calibri" w:eastAsia="Calibri" w:hAnsi="Calibri" w:cs="Times New Roman"/>
          <w:b/>
        </w:rPr>
      </w:pPr>
      <w:r>
        <w:t>Bij een noodzakelijke, niet-ingrijpende of gebruikelijke behandeling mag de arts dan de toestemming van de andere ouder veronderstellen, tenzij er aanwijzingen zijn voor het tegendeel. In alle andere gevallen moet de arts expliciet vragen naar de toestemming van de andere ouder</w:t>
      </w:r>
    </w:p>
    <w:p w:rsidR="00245669" w:rsidRPr="00245669" w:rsidRDefault="00245669" w:rsidP="00245669">
      <w:pPr>
        <w:pStyle w:val="NoSpacing"/>
        <w:numPr>
          <w:ilvl w:val="0"/>
          <w:numId w:val="23"/>
        </w:numPr>
        <w:rPr>
          <w:rFonts w:ascii="Calibri" w:eastAsia="Calibri" w:hAnsi="Calibri" w:cs="Times New Roman"/>
          <w:b/>
        </w:rPr>
      </w:pPr>
      <w:r>
        <w:t>Weigert deze vervolgens behandeling, dan biedt de WGBO de arts ruimte om het kind op grond van goed hulpverlenerschap tóch te behandelen. Bij kinderen van twaalf tot zestien jaar is dat mogelijk als het kind de behandeling zelf weloverwogen blijft wensen en als de behandeling ‘kennelijk nodig is om ernstig nadeel te voorkomen’. Bij een jonger kind is diens mening formeel niet van belang, maar kan deze wel meewegen bij het antwoord op de vraag of de arts in strijd met goed hulpverlenerschap zou handelen als hij meegaat in de weigering van de vertegenwoordiger</w:t>
      </w:r>
    </w:p>
    <w:p w:rsidR="00245669" w:rsidRPr="00245669" w:rsidRDefault="00245669" w:rsidP="00245669">
      <w:pPr>
        <w:pStyle w:val="NoSpacing"/>
        <w:numPr>
          <w:ilvl w:val="0"/>
          <w:numId w:val="23"/>
        </w:numPr>
        <w:rPr>
          <w:rFonts w:ascii="Calibri" w:eastAsia="Calibri" w:hAnsi="Calibri" w:cs="Times New Roman"/>
          <w:b/>
        </w:rPr>
      </w:pPr>
      <w:r>
        <w:t xml:space="preserve"> Als ouders met gezamenlijk gezag het niet eens worden, kunnen zij de kinderrechter vragen om een beslissing. Daarnaast kan de arts zelf via de Raad voor de Kinderbescherming vervangende toestemming van de kinderrechter regelen. Dit kan bij twijfel, bij een zeer ingrijpende of ongebruikelijke behandeling maar zal vooral aan de orde zijn als de weigerende ouder het kind feitelijk aan behandeling dreigt te onttrekken</w:t>
      </w:r>
    </w:p>
    <w:p w:rsidR="00245669" w:rsidRPr="00245669" w:rsidRDefault="00245669" w:rsidP="00245669">
      <w:pPr>
        <w:pStyle w:val="NoSpacing"/>
        <w:numPr>
          <w:ilvl w:val="0"/>
          <w:numId w:val="23"/>
        </w:numPr>
        <w:rPr>
          <w:rFonts w:ascii="Calibri" w:eastAsia="Calibri" w:hAnsi="Calibri" w:cs="Times New Roman"/>
          <w:b/>
        </w:rPr>
      </w:pPr>
      <w:r>
        <w:t>Bij twijfels over het gezag, gaat de arts na wie het gezag heeft. Dit kan bij het gezagsregister bij de griffier van de rechtbank het dichtst bij de geboorteplaats van het kind</w:t>
      </w:r>
    </w:p>
    <w:p w:rsidR="00245669" w:rsidRPr="00245669" w:rsidRDefault="00245669" w:rsidP="00245669">
      <w:pPr>
        <w:pStyle w:val="NoSpacing"/>
        <w:numPr>
          <w:ilvl w:val="0"/>
          <w:numId w:val="23"/>
        </w:numPr>
        <w:rPr>
          <w:rFonts w:ascii="Calibri" w:eastAsia="Calibri" w:hAnsi="Calibri" w:cs="Times New Roman"/>
          <w:b/>
        </w:rPr>
      </w:pPr>
      <w:r>
        <w:t xml:space="preserve">Niet gezagdragende ouders hebben recht op algemene, globale informatie over de gezondheid van hun kind, maar geen inzagerecht </w:t>
      </w:r>
    </w:p>
    <w:p w:rsidR="00245669" w:rsidRPr="00245669" w:rsidRDefault="00245669" w:rsidP="00245669">
      <w:pPr>
        <w:pStyle w:val="NoSpacing"/>
        <w:numPr>
          <w:ilvl w:val="0"/>
          <w:numId w:val="23"/>
        </w:numPr>
        <w:rPr>
          <w:rFonts w:ascii="Calibri" w:eastAsia="Calibri" w:hAnsi="Calibri" w:cs="Times New Roman"/>
          <w:b/>
        </w:rPr>
      </w:pPr>
      <w:r>
        <w:t>Informatie over het gezag wordt bij het kind duidelijk vermeld in het medisch dossier van het kind (probleemregel) en als attentieregel</w:t>
      </w:r>
    </w:p>
    <w:p w:rsidR="00245669" w:rsidRDefault="00245669" w:rsidP="00245669">
      <w:pPr>
        <w:pStyle w:val="NoSpacing"/>
      </w:pPr>
    </w:p>
    <w:p w:rsidR="002B094C" w:rsidRDefault="002B094C" w:rsidP="00245669">
      <w:pPr>
        <w:pStyle w:val="NoSpacing"/>
        <w:rPr>
          <w:rFonts w:ascii="Calibri" w:eastAsia="Calibri" w:hAnsi="Calibri" w:cs="Times New Roman"/>
          <w:b/>
        </w:rPr>
      </w:pPr>
    </w:p>
    <w:p w:rsidR="002B094C" w:rsidRPr="002B094C" w:rsidRDefault="002B094C" w:rsidP="002B094C">
      <w:pPr>
        <w:rPr>
          <w:b/>
        </w:rPr>
      </w:pPr>
      <w:r w:rsidRPr="002B094C">
        <w:rPr>
          <w:b/>
        </w:rPr>
        <w:t>Het elektronisch patiëntendossier</w:t>
      </w:r>
    </w:p>
    <w:p w:rsidR="002B094C" w:rsidRPr="002B094C" w:rsidRDefault="002B094C" w:rsidP="002B094C">
      <w:pPr>
        <w:pStyle w:val="NoSpacing"/>
        <w:numPr>
          <w:ilvl w:val="0"/>
          <w:numId w:val="24"/>
        </w:numPr>
        <w:rPr>
          <w:rFonts w:ascii="Calibri" w:eastAsia="Calibri" w:hAnsi="Calibri" w:cs="Times New Roman"/>
          <w:b/>
        </w:rPr>
      </w:pPr>
      <w:r>
        <w:t>Continuïteit van zorg vereist continuïteit van gegevensbeheer. De huisarts heeft door zijn regierol in de zorg een centrale rol in de informatievoorziening. Hij zorgt voor adequaat gegevensbeheer in het H-EPD, volgens de NHG-Richtlijn Adequate dossiervorming met het EPD (ADEPD)</w:t>
      </w:r>
    </w:p>
    <w:p w:rsidR="002B094C" w:rsidRPr="002B094C" w:rsidRDefault="002B094C" w:rsidP="002B094C">
      <w:pPr>
        <w:pStyle w:val="NoSpacing"/>
        <w:numPr>
          <w:ilvl w:val="0"/>
          <w:numId w:val="24"/>
        </w:numPr>
        <w:rPr>
          <w:rFonts w:ascii="Calibri" w:eastAsia="Calibri" w:hAnsi="Calibri" w:cs="Times New Roman"/>
          <w:b/>
        </w:rPr>
      </w:pPr>
      <w:r>
        <w:t>Wanneer de patiënt gebruik wil maken van zijn wettelijke rechten met betrekking tot het H-EPD begeleidt de huisarts hem. Daarnaast biedt hij de patiënt diverse vormen van elektronische dienstverlening</w:t>
      </w:r>
    </w:p>
    <w:p w:rsidR="002B094C" w:rsidRPr="002B094C" w:rsidRDefault="002B094C" w:rsidP="002B094C">
      <w:pPr>
        <w:pStyle w:val="NoSpacing"/>
        <w:numPr>
          <w:ilvl w:val="0"/>
          <w:numId w:val="24"/>
        </w:numPr>
        <w:rPr>
          <w:rFonts w:ascii="Calibri" w:eastAsia="Calibri" w:hAnsi="Calibri" w:cs="Times New Roman"/>
          <w:b/>
        </w:rPr>
      </w:pPr>
      <w:r>
        <w:t>De huisarts communiceert bij (terug)verwijzing op elektronische wijze met andere zorgverleners die een behandelingsrelatie met de patiënt hebben. Als lacunes dreigen in de continuïteit van de zorg, bijvoorbeeld buiten kantooruren of in noodsituaties, kunnen andere curatieve artsen de EPD-basisgegevensset direct raadplegen</w:t>
      </w:r>
    </w:p>
    <w:p w:rsidR="002B094C" w:rsidRPr="002B094C" w:rsidRDefault="002B094C" w:rsidP="002B094C">
      <w:pPr>
        <w:pStyle w:val="NoSpacing"/>
        <w:numPr>
          <w:ilvl w:val="0"/>
          <w:numId w:val="24"/>
        </w:numPr>
        <w:rPr>
          <w:rFonts w:ascii="Calibri" w:eastAsia="Calibri" w:hAnsi="Calibri" w:cs="Times New Roman"/>
          <w:b/>
        </w:rPr>
      </w:pPr>
      <w:r>
        <w:t>De huisarts stelt een selectie van relevante informatie uit het H-EPD 24 uur per dag beschikbaar aan collega-huisartsen (diensten) en aan de meldkamer, ambulancedienst en SEH (spoedeisende hulp). Regionale samenwerkingsafspraken binnen de spoedzorg zijn daarbij een voorwaarde</w:t>
      </w:r>
    </w:p>
    <w:p w:rsidR="002B094C" w:rsidRPr="002B094C" w:rsidRDefault="002B094C" w:rsidP="002B094C">
      <w:pPr>
        <w:pStyle w:val="NoSpacing"/>
        <w:numPr>
          <w:ilvl w:val="0"/>
          <w:numId w:val="24"/>
        </w:numPr>
        <w:rPr>
          <w:rFonts w:ascii="Calibri" w:eastAsia="Calibri" w:hAnsi="Calibri" w:cs="Times New Roman"/>
          <w:b/>
        </w:rPr>
      </w:pPr>
      <w:r>
        <w:t>De huisarts geeft andere zorgverleners in de ketenzorg bij chronische aandoeningen inzage in de voor hen relevante gegevens uit het H-EPD. Zij koppelen op hun beurt relevante gegevens terug naar de huisarts</w:t>
      </w:r>
    </w:p>
    <w:p w:rsidR="002B094C" w:rsidRPr="002B094C" w:rsidRDefault="002B094C" w:rsidP="002B094C">
      <w:pPr>
        <w:pStyle w:val="NoSpacing"/>
        <w:numPr>
          <w:ilvl w:val="0"/>
          <w:numId w:val="24"/>
        </w:numPr>
        <w:rPr>
          <w:rFonts w:ascii="Calibri" w:eastAsia="Calibri" w:hAnsi="Calibri" w:cs="Times New Roman"/>
          <w:b/>
        </w:rPr>
      </w:pPr>
      <w:r>
        <w:t>De ICT in de huisartsenvoorziening voldoet aan de eisen voor informatiebeveiliging en de privacy van de patiënt is gewaarborgd</w:t>
      </w:r>
    </w:p>
    <w:p w:rsidR="002B094C" w:rsidRPr="002B094C" w:rsidRDefault="002B094C" w:rsidP="002B094C">
      <w:pPr>
        <w:pStyle w:val="NoSpacing"/>
        <w:numPr>
          <w:ilvl w:val="0"/>
          <w:numId w:val="24"/>
        </w:numPr>
        <w:rPr>
          <w:rFonts w:ascii="Calibri" w:eastAsia="Calibri" w:hAnsi="Calibri" w:cs="Times New Roman"/>
          <w:b/>
        </w:rPr>
      </w:pPr>
      <w:r>
        <w:t>De huisarts biedt via een patiëntenporta</w:t>
      </w:r>
      <w:r w:rsidR="008A4FE1">
        <w:t>a</w:t>
      </w:r>
      <w:r>
        <w:t>l mogelijkheden voor veilige elektronische communicatie tussen huisarts en patiënt</w:t>
      </w:r>
    </w:p>
    <w:p w:rsidR="002B094C" w:rsidRDefault="002B094C" w:rsidP="002B094C">
      <w:pPr>
        <w:pStyle w:val="NoSpacing"/>
        <w:numPr>
          <w:ilvl w:val="0"/>
          <w:numId w:val="24"/>
        </w:numPr>
        <w:rPr>
          <w:rFonts w:ascii="Calibri" w:eastAsia="Calibri" w:hAnsi="Calibri" w:cs="Times New Roman"/>
          <w:b/>
        </w:rPr>
      </w:pPr>
      <w:r>
        <w:lastRenderedPageBreak/>
        <w:t>De huisartsenvoorziening is transparant over de geleverde zorg, meet periodiek de kwaliteit van de registratie en draagt bij aan wetenschappelijk onderzoek</w:t>
      </w:r>
    </w:p>
    <w:p w:rsidR="002B094C" w:rsidRDefault="002B094C" w:rsidP="00245669">
      <w:pPr>
        <w:pStyle w:val="NoSpacing"/>
        <w:rPr>
          <w:rFonts w:ascii="Calibri" w:eastAsia="Calibri" w:hAnsi="Calibri" w:cs="Times New Roman"/>
          <w:b/>
        </w:rPr>
      </w:pPr>
    </w:p>
    <w:p w:rsidR="002B094C" w:rsidRDefault="002B094C" w:rsidP="00245669">
      <w:pPr>
        <w:pStyle w:val="NoSpacing"/>
        <w:rPr>
          <w:rFonts w:ascii="Calibri" w:eastAsia="Calibri" w:hAnsi="Calibri" w:cs="Times New Roman"/>
          <w:b/>
        </w:rPr>
      </w:pPr>
    </w:p>
    <w:p w:rsidR="002725BE" w:rsidRDefault="002725BE" w:rsidP="002725BE">
      <w:pPr>
        <w:pStyle w:val="NoSpacing"/>
        <w:rPr>
          <w:rFonts w:ascii="Calibri" w:eastAsia="Calibri" w:hAnsi="Calibri" w:cs="Times New Roman"/>
          <w:b/>
        </w:rPr>
      </w:pPr>
      <w:r w:rsidRPr="002725BE">
        <w:rPr>
          <w:rFonts w:ascii="Calibri" w:eastAsia="Calibri" w:hAnsi="Calibri" w:cs="Times New Roman"/>
          <w:b/>
        </w:rPr>
        <w:t>Publicatie privacyreglement</w:t>
      </w:r>
    </w:p>
    <w:p w:rsidR="00245669" w:rsidRPr="002725BE" w:rsidRDefault="00245669" w:rsidP="002725BE">
      <w:pPr>
        <w:pStyle w:val="NoSpacing"/>
        <w:rPr>
          <w:rFonts w:ascii="Calibri" w:eastAsia="Calibri" w:hAnsi="Calibri" w:cs="Times New Roman"/>
          <w:b/>
        </w:rPr>
      </w:pPr>
    </w:p>
    <w:p w:rsidR="002725BE" w:rsidRPr="002725BE" w:rsidRDefault="002725BE" w:rsidP="002725BE">
      <w:pPr>
        <w:pStyle w:val="NoSpacing"/>
        <w:rPr>
          <w:rFonts w:ascii="Calibri" w:eastAsia="Calibri" w:hAnsi="Calibri" w:cs="Times New Roman"/>
        </w:rPr>
      </w:pPr>
      <w:r w:rsidRPr="002725BE">
        <w:rPr>
          <w:rFonts w:ascii="Calibri" w:eastAsia="Calibri" w:hAnsi="Calibri" w:cs="Times New Roman"/>
        </w:rPr>
        <w:t>Dit privacyreglement</w:t>
      </w:r>
      <w:r w:rsidR="00261821">
        <w:t xml:space="preserve"> van praktijk van den Berg &amp; Koelma treedt in werking per 1 oktober 2016 </w:t>
      </w:r>
      <w:r w:rsidRPr="002725BE">
        <w:rPr>
          <w:rFonts w:ascii="Calibri" w:eastAsia="Calibri" w:hAnsi="Calibri" w:cs="Times New Roman"/>
        </w:rPr>
        <w:t>en is gepubliceerd op de website</w:t>
      </w:r>
      <w:r w:rsidR="00261821">
        <w:t xml:space="preserve"> </w:t>
      </w:r>
      <w:r w:rsidRPr="002725BE">
        <w:rPr>
          <w:rFonts w:ascii="Calibri" w:eastAsia="Calibri" w:hAnsi="Calibri" w:cs="Times New Roman"/>
        </w:rPr>
        <w:t>van de praktijk en</w:t>
      </w:r>
      <w:r w:rsidR="00261821">
        <w:t xml:space="preserve"> op verzoek in papieren versie opvraagbaar</w:t>
      </w:r>
      <w:r w:rsidRPr="002725BE">
        <w:rPr>
          <w:rFonts w:ascii="Calibri" w:eastAsia="Calibri" w:hAnsi="Calibri" w:cs="Times New Roman"/>
        </w:rPr>
        <w:t>.</w:t>
      </w:r>
    </w:p>
    <w:p w:rsidR="002725BE" w:rsidRPr="002725BE" w:rsidRDefault="002725BE" w:rsidP="002725BE"/>
    <w:sectPr w:rsidR="002725BE" w:rsidRPr="002725BE" w:rsidSect="00920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E17"/>
    <w:multiLevelType w:val="hybridMultilevel"/>
    <w:tmpl w:val="99B2B4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2F463F"/>
    <w:multiLevelType w:val="hybridMultilevel"/>
    <w:tmpl w:val="5ABA0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755DB9"/>
    <w:multiLevelType w:val="hybridMultilevel"/>
    <w:tmpl w:val="4FEA28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CAE47DE"/>
    <w:multiLevelType w:val="hybridMultilevel"/>
    <w:tmpl w:val="93A46F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705096"/>
    <w:multiLevelType w:val="hybridMultilevel"/>
    <w:tmpl w:val="9F28524A"/>
    <w:lvl w:ilvl="0" w:tplc="04130003">
      <w:start w:val="1"/>
      <w:numFmt w:val="bullet"/>
      <w:lvlText w:val="o"/>
      <w:lvlJc w:val="left"/>
      <w:pPr>
        <w:ind w:left="3588" w:hanging="360"/>
      </w:pPr>
      <w:rPr>
        <w:rFonts w:ascii="Courier New" w:hAnsi="Courier New" w:cs="Courier New" w:hint="default"/>
      </w:rPr>
    </w:lvl>
    <w:lvl w:ilvl="1" w:tplc="04130003" w:tentative="1">
      <w:start w:val="1"/>
      <w:numFmt w:val="bullet"/>
      <w:lvlText w:val="o"/>
      <w:lvlJc w:val="left"/>
      <w:pPr>
        <w:ind w:left="3588" w:hanging="360"/>
      </w:pPr>
      <w:rPr>
        <w:rFonts w:ascii="Courier New" w:hAnsi="Courier New" w:cs="Courier New" w:hint="default"/>
      </w:rPr>
    </w:lvl>
    <w:lvl w:ilvl="2" w:tplc="04130005" w:tentative="1">
      <w:start w:val="1"/>
      <w:numFmt w:val="bullet"/>
      <w:lvlText w:val=""/>
      <w:lvlJc w:val="left"/>
      <w:pPr>
        <w:ind w:left="4308" w:hanging="360"/>
      </w:pPr>
      <w:rPr>
        <w:rFonts w:ascii="Wingdings" w:hAnsi="Wingdings" w:hint="default"/>
      </w:rPr>
    </w:lvl>
    <w:lvl w:ilvl="3" w:tplc="04130001">
      <w:start w:val="1"/>
      <w:numFmt w:val="bullet"/>
      <w:lvlText w:val=""/>
      <w:lvlJc w:val="left"/>
      <w:pPr>
        <w:ind w:left="5028" w:hanging="360"/>
      </w:pPr>
      <w:rPr>
        <w:rFonts w:ascii="Symbol" w:hAnsi="Symbol" w:hint="default"/>
      </w:rPr>
    </w:lvl>
    <w:lvl w:ilvl="4" w:tplc="04130003" w:tentative="1">
      <w:start w:val="1"/>
      <w:numFmt w:val="bullet"/>
      <w:lvlText w:val="o"/>
      <w:lvlJc w:val="left"/>
      <w:pPr>
        <w:ind w:left="5748" w:hanging="360"/>
      </w:pPr>
      <w:rPr>
        <w:rFonts w:ascii="Courier New" w:hAnsi="Courier New" w:cs="Courier New" w:hint="default"/>
      </w:rPr>
    </w:lvl>
    <w:lvl w:ilvl="5" w:tplc="04130005" w:tentative="1">
      <w:start w:val="1"/>
      <w:numFmt w:val="bullet"/>
      <w:lvlText w:val=""/>
      <w:lvlJc w:val="left"/>
      <w:pPr>
        <w:ind w:left="6468" w:hanging="360"/>
      </w:pPr>
      <w:rPr>
        <w:rFonts w:ascii="Wingdings" w:hAnsi="Wingdings" w:hint="default"/>
      </w:rPr>
    </w:lvl>
    <w:lvl w:ilvl="6" w:tplc="04130001" w:tentative="1">
      <w:start w:val="1"/>
      <w:numFmt w:val="bullet"/>
      <w:lvlText w:val=""/>
      <w:lvlJc w:val="left"/>
      <w:pPr>
        <w:ind w:left="7188" w:hanging="360"/>
      </w:pPr>
      <w:rPr>
        <w:rFonts w:ascii="Symbol" w:hAnsi="Symbol" w:hint="default"/>
      </w:rPr>
    </w:lvl>
    <w:lvl w:ilvl="7" w:tplc="04130003" w:tentative="1">
      <w:start w:val="1"/>
      <w:numFmt w:val="bullet"/>
      <w:lvlText w:val="o"/>
      <w:lvlJc w:val="left"/>
      <w:pPr>
        <w:ind w:left="7908" w:hanging="360"/>
      </w:pPr>
      <w:rPr>
        <w:rFonts w:ascii="Courier New" w:hAnsi="Courier New" w:cs="Courier New" w:hint="default"/>
      </w:rPr>
    </w:lvl>
    <w:lvl w:ilvl="8" w:tplc="04130005" w:tentative="1">
      <w:start w:val="1"/>
      <w:numFmt w:val="bullet"/>
      <w:lvlText w:val=""/>
      <w:lvlJc w:val="left"/>
      <w:pPr>
        <w:ind w:left="8628" w:hanging="360"/>
      </w:pPr>
      <w:rPr>
        <w:rFonts w:ascii="Wingdings" w:hAnsi="Wingdings" w:hint="default"/>
      </w:rPr>
    </w:lvl>
  </w:abstractNum>
  <w:abstractNum w:abstractNumId="5">
    <w:nsid w:val="31A6787C"/>
    <w:multiLevelType w:val="hybridMultilevel"/>
    <w:tmpl w:val="D9C02E6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57A4B51"/>
    <w:multiLevelType w:val="hybridMultilevel"/>
    <w:tmpl w:val="2D4E4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E73B11"/>
    <w:multiLevelType w:val="hybridMultilevel"/>
    <w:tmpl w:val="94028B46"/>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1776" w:hanging="360"/>
      </w:pPr>
      <w:rPr>
        <w:rFonts w:ascii="Courier New" w:hAnsi="Courier New" w:cs="Courier New" w:hint="default"/>
      </w:rPr>
    </w:lvl>
    <w:lvl w:ilvl="2" w:tplc="04130005">
      <w:start w:val="1"/>
      <w:numFmt w:val="bullet"/>
      <w:lvlText w:val=""/>
      <w:lvlJc w:val="left"/>
      <w:pPr>
        <w:ind w:left="2496" w:hanging="360"/>
      </w:pPr>
      <w:rPr>
        <w:rFonts w:ascii="Wingdings" w:hAnsi="Wingdings" w:hint="default"/>
      </w:rPr>
    </w:lvl>
    <w:lvl w:ilvl="3" w:tplc="0413000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8">
    <w:nsid w:val="3BEE63D7"/>
    <w:multiLevelType w:val="hybridMultilevel"/>
    <w:tmpl w:val="E24AE95A"/>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1776" w:hanging="360"/>
      </w:pPr>
      <w:rPr>
        <w:rFonts w:ascii="Courier New" w:hAnsi="Courier New" w:cs="Courier New" w:hint="default"/>
      </w:rPr>
    </w:lvl>
    <w:lvl w:ilvl="2" w:tplc="04130005">
      <w:start w:val="1"/>
      <w:numFmt w:val="bullet"/>
      <w:lvlText w:val=""/>
      <w:lvlJc w:val="left"/>
      <w:pPr>
        <w:ind w:left="2496" w:hanging="360"/>
      </w:pPr>
      <w:rPr>
        <w:rFonts w:ascii="Wingdings" w:hAnsi="Wingdings" w:hint="default"/>
      </w:rPr>
    </w:lvl>
    <w:lvl w:ilvl="3" w:tplc="04130001" w:tentative="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9">
    <w:nsid w:val="3C1246D3"/>
    <w:multiLevelType w:val="hybridMultilevel"/>
    <w:tmpl w:val="7C7066C6"/>
    <w:lvl w:ilvl="0" w:tplc="0413000F">
      <w:start w:val="1"/>
      <w:numFmt w:val="decimal"/>
      <w:lvlText w:val="%1."/>
      <w:lvlJc w:val="left"/>
      <w:pPr>
        <w:tabs>
          <w:tab w:val="num" w:pos="1068"/>
        </w:tabs>
        <w:ind w:left="1068" w:hanging="360"/>
      </w:pPr>
      <w:rPr>
        <w:rFonts w:hint="default"/>
      </w:rPr>
    </w:lvl>
    <w:lvl w:ilvl="1" w:tplc="0413000F">
      <w:start w:val="1"/>
      <w:numFmt w:val="decimal"/>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3E494A45"/>
    <w:multiLevelType w:val="hybridMultilevel"/>
    <w:tmpl w:val="0F467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4C67FF"/>
    <w:multiLevelType w:val="hybridMultilevel"/>
    <w:tmpl w:val="E2625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05676B2"/>
    <w:multiLevelType w:val="hybridMultilevel"/>
    <w:tmpl w:val="138421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E32770"/>
    <w:multiLevelType w:val="hybridMultilevel"/>
    <w:tmpl w:val="48962520"/>
    <w:lvl w:ilvl="0" w:tplc="04130017">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1476AE"/>
    <w:multiLevelType w:val="hybridMultilevel"/>
    <w:tmpl w:val="A20C216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6473C7F"/>
    <w:multiLevelType w:val="hybridMultilevel"/>
    <w:tmpl w:val="4FA4A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DA7C29"/>
    <w:multiLevelType w:val="hybridMultilevel"/>
    <w:tmpl w:val="BB66BDA4"/>
    <w:lvl w:ilvl="0" w:tplc="04130001">
      <w:start w:val="1"/>
      <w:numFmt w:val="bullet"/>
      <w:lvlText w:val=""/>
      <w:lvlJc w:val="left"/>
      <w:pPr>
        <w:ind w:left="186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nsid w:val="5FA22553"/>
    <w:multiLevelType w:val="hybridMultilevel"/>
    <w:tmpl w:val="2AA2E4C8"/>
    <w:lvl w:ilvl="0" w:tplc="04130003">
      <w:start w:val="1"/>
      <w:numFmt w:val="bullet"/>
      <w:lvlText w:val="o"/>
      <w:lvlJc w:val="left"/>
      <w:pPr>
        <w:ind w:left="2138" w:hanging="360"/>
      </w:pPr>
      <w:rPr>
        <w:rFonts w:ascii="Courier New" w:hAnsi="Courier New" w:cs="Courier New"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8">
    <w:nsid w:val="624D73FE"/>
    <w:multiLevelType w:val="hybridMultilevel"/>
    <w:tmpl w:val="2D50C4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5615E2"/>
    <w:multiLevelType w:val="hybridMultilevel"/>
    <w:tmpl w:val="7C96E9D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20">
    <w:nsid w:val="69F5183B"/>
    <w:multiLevelType w:val="hybridMultilevel"/>
    <w:tmpl w:val="895C22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D935D6"/>
    <w:multiLevelType w:val="hybridMultilevel"/>
    <w:tmpl w:val="0F720AB0"/>
    <w:lvl w:ilvl="0" w:tplc="073E29C6">
      <w:start w:val="20"/>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13F56F9"/>
    <w:multiLevelType w:val="hybridMultilevel"/>
    <w:tmpl w:val="8CA41B7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7BE43922"/>
    <w:multiLevelType w:val="hybridMultilevel"/>
    <w:tmpl w:val="24843B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num>
  <w:num w:numId="4">
    <w:abstractNumId w:val="3"/>
  </w:num>
  <w:num w:numId="5">
    <w:abstractNumId w:val="2"/>
  </w:num>
  <w:num w:numId="6">
    <w:abstractNumId w:val="14"/>
  </w:num>
  <w:num w:numId="7">
    <w:abstractNumId w:val="13"/>
  </w:num>
  <w:num w:numId="8">
    <w:abstractNumId w:val="9"/>
  </w:num>
  <w:num w:numId="9">
    <w:abstractNumId w:val="22"/>
  </w:num>
  <w:num w:numId="10">
    <w:abstractNumId w:val="1"/>
  </w:num>
  <w:num w:numId="11">
    <w:abstractNumId w:val="18"/>
  </w:num>
  <w:num w:numId="12">
    <w:abstractNumId w:val="12"/>
  </w:num>
  <w:num w:numId="13">
    <w:abstractNumId w:val="5"/>
  </w:num>
  <w:num w:numId="14">
    <w:abstractNumId w:val="17"/>
  </w:num>
  <w:num w:numId="15">
    <w:abstractNumId w:val="10"/>
  </w:num>
  <w:num w:numId="16">
    <w:abstractNumId w:val="20"/>
  </w:num>
  <w:num w:numId="17">
    <w:abstractNumId w:val="19"/>
  </w:num>
  <w:num w:numId="18">
    <w:abstractNumId w:val="7"/>
  </w:num>
  <w:num w:numId="19">
    <w:abstractNumId w:val="4"/>
  </w:num>
  <w:num w:numId="20">
    <w:abstractNumId w:val="8"/>
  </w:num>
  <w:num w:numId="21">
    <w:abstractNumId w:val="16"/>
  </w:num>
  <w:num w:numId="22">
    <w:abstractNumId w:val="15"/>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BE"/>
    <w:rsid w:val="00156A90"/>
    <w:rsid w:val="00245669"/>
    <w:rsid w:val="00261821"/>
    <w:rsid w:val="002725BE"/>
    <w:rsid w:val="002B094C"/>
    <w:rsid w:val="005A42FC"/>
    <w:rsid w:val="00614F01"/>
    <w:rsid w:val="0073046A"/>
    <w:rsid w:val="008A4FE1"/>
    <w:rsid w:val="00920492"/>
    <w:rsid w:val="00A72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5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5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25BE"/>
    <w:pPr>
      <w:ind w:left="720"/>
      <w:contextualSpacing/>
    </w:pPr>
  </w:style>
  <w:style w:type="character" w:customStyle="1" w:styleId="Heading1Char">
    <w:name w:val="Heading 1 Char"/>
    <w:basedOn w:val="DefaultParagraphFont"/>
    <w:link w:val="Heading1"/>
    <w:uiPriority w:val="9"/>
    <w:rsid w:val="002725B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725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5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5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25BE"/>
    <w:pPr>
      <w:ind w:left="720"/>
      <w:contextualSpacing/>
    </w:pPr>
  </w:style>
  <w:style w:type="character" w:customStyle="1" w:styleId="Heading1Char">
    <w:name w:val="Heading 1 Char"/>
    <w:basedOn w:val="DefaultParagraphFont"/>
    <w:link w:val="Heading1"/>
    <w:uiPriority w:val="9"/>
    <w:rsid w:val="002725B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72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3459CD-A44F-4B4B-B6BF-EDB2216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7608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ass4</dc:creator>
  <cp:lastModifiedBy>Ralph van der Meulen</cp:lastModifiedBy>
  <cp:revision>2</cp:revision>
  <dcterms:created xsi:type="dcterms:W3CDTF">2016-10-02T17:48:00Z</dcterms:created>
  <dcterms:modified xsi:type="dcterms:W3CDTF">2016-10-02T17:48:00Z</dcterms:modified>
</cp:coreProperties>
</file>