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1D" w:rsidRPr="00AC6A1D" w:rsidRDefault="00AC6A1D" w:rsidP="00AC6A1D">
      <w:pPr>
        <w:pStyle w:val="Subtitle"/>
        <w:rPr>
          <w:sz w:val="48"/>
          <w:szCs w:val="48"/>
        </w:rPr>
      </w:pPr>
      <w:bookmarkStart w:id="0" w:name="_GoBack"/>
      <w:bookmarkEnd w:id="0"/>
      <w:r w:rsidRPr="00AC6A1D">
        <w:rPr>
          <w:sz w:val="48"/>
          <w:szCs w:val="48"/>
        </w:rPr>
        <w:t>Zorgaanbod</w:t>
      </w:r>
    </w:p>
    <w:p w:rsidR="0054415E" w:rsidRDefault="00F45A74" w:rsidP="0054415E">
      <w:pPr>
        <w:pStyle w:val="NoSpacing"/>
        <w:rPr>
          <w:sz w:val="20"/>
          <w:szCs w:val="20"/>
        </w:rPr>
      </w:pPr>
      <w:r>
        <w:rPr>
          <w:sz w:val="20"/>
          <w:szCs w:val="20"/>
        </w:rPr>
        <w:br/>
      </w:r>
      <w:r w:rsidR="0054415E" w:rsidRPr="00863664">
        <w:rPr>
          <w:sz w:val="20"/>
          <w:szCs w:val="20"/>
        </w:rPr>
        <w:t xml:space="preserve">Ons </w:t>
      </w:r>
      <w:r w:rsidR="0054415E">
        <w:rPr>
          <w:sz w:val="20"/>
          <w:szCs w:val="20"/>
        </w:rPr>
        <w:t>basis</w:t>
      </w:r>
      <w:r w:rsidR="0054415E" w:rsidRPr="00863664">
        <w:rPr>
          <w:sz w:val="20"/>
          <w:szCs w:val="20"/>
        </w:rPr>
        <w:t xml:space="preserve">zorgaanbod bestaat uit de eerste opvang van alle klachten en symptomen die samenhangen met gezondheid en ziekte, en voldoet aan de essentiële kenmerken van huisartsgeneeskundige zorg zoals genoemd in het </w:t>
      </w:r>
      <w:r w:rsidR="0054415E" w:rsidRPr="00863664">
        <w:rPr>
          <w:i/>
          <w:sz w:val="20"/>
          <w:szCs w:val="20"/>
        </w:rPr>
        <w:t>Standpunt kernwaarden huisartsgeneeskundige zorg</w:t>
      </w:r>
      <w:r w:rsidR="0054415E" w:rsidRPr="00863664">
        <w:rPr>
          <w:rStyle w:val="FootnoteReference"/>
          <w:i/>
          <w:sz w:val="20"/>
          <w:szCs w:val="20"/>
        </w:rPr>
        <w:footnoteReference w:id="1"/>
      </w:r>
      <w:r w:rsidR="0054415E">
        <w:rPr>
          <w:sz w:val="20"/>
          <w:szCs w:val="20"/>
        </w:rPr>
        <w:t xml:space="preserve">. </w:t>
      </w:r>
    </w:p>
    <w:p w:rsidR="0054415E" w:rsidRDefault="0054415E" w:rsidP="0054415E">
      <w:pPr>
        <w:pStyle w:val="NoSpacing"/>
        <w:ind w:firstLine="708"/>
        <w:rPr>
          <w:sz w:val="20"/>
          <w:szCs w:val="20"/>
        </w:rPr>
      </w:pPr>
      <w:r w:rsidRPr="00863664">
        <w:rPr>
          <w:sz w:val="20"/>
          <w:szCs w:val="20"/>
        </w:rPr>
        <w:t>We bieden nadere diagnostiek en behandeling van veel voorkomende klachten en aandoeningen. Bij (relatief) minder voorkomende aandoeningen en klachten verwijzen we door voor verde</w:t>
      </w:r>
      <w:r>
        <w:rPr>
          <w:sz w:val="20"/>
          <w:szCs w:val="20"/>
        </w:rPr>
        <w:t xml:space="preserve">re diagnostiek en behandeling. </w:t>
      </w:r>
    </w:p>
    <w:p w:rsidR="0054415E" w:rsidRPr="00863664" w:rsidRDefault="0054415E" w:rsidP="0054415E">
      <w:pPr>
        <w:pStyle w:val="NoSpacing"/>
        <w:ind w:left="708"/>
        <w:rPr>
          <w:sz w:val="20"/>
          <w:szCs w:val="20"/>
        </w:rPr>
      </w:pPr>
      <w:r w:rsidRPr="00863664">
        <w:rPr>
          <w:sz w:val="20"/>
          <w:szCs w:val="20"/>
        </w:rPr>
        <w:t>Onze zorg is waar mogelijk gebaseerd op de inhoud van huisartsgeneeskundige richtlijnen en standaarden.</w:t>
      </w:r>
    </w:p>
    <w:p w:rsidR="0054415E" w:rsidRDefault="0054415E" w:rsidP="0054415E">
      <w:pPr>
        <w:pStyle w:val="NoSpacing"/>
      </w:pPr>
    </w:p>
    <w:p w:rsidR="0054415E" w:rsidRPr="00863664" w:rsidRDefault="0054415E" w:rsidP="0054415E">
      <w:pPr>
        <w:pStyle w:val="NoSpacing"/>
        <w:rPr>
          <w:sz w:val="20"/>
          <w:szCs w:val="20"/>
        </w:rPr>
      </w:pPr>
      <w:r w:rsidRPr="00863664">
        <w:rPr>
          <w:sz w:val="20"/>
          <w:szCs w:val="20"/>
        </w:rPr>
        <w:t xml:space="preserve">Tijdens de avond-, nacht- en weekenddiensten kunnen onze patiënten terecht bij de huisartsenpost; deze zorg beperkt zich tot spoedeisende hulp. </w:t>
      </w:r>
    </w:p>
    <w:p w:rsidR="0054415E" w:rsidRDefault="0054415E" w:rsidP="0054415E">
      <w:pPr>
        <w:pStyle w:val="NoSpacing"/>
      </w:pPr>
    </w:p>
    <w:p w:rsidR="0054415E" w:rsidRDefault="0054415E" w:rsidP="0054415E">
      <w:pPr>
        <w:pStyle w:val="NoSpacing"/>
        <w:rPr>
          <w:sz w:val="20"/>
          <w:szCs w:val="20"/>
        </w:rPr>
      </w:pPr>
      <w:r>
        <w:rPr>
          <w:sz w:val="20"/>
          <w:szCs w:val="20"/>
        </w:rPr>
        <w:t xml:space="preserve">Daarnaast bieden we ter aanvulling van het basisaanbod ook aanvullende en bijzondere zorg.  In de bijlage behorend bij dit beleidsplan wordt een opsomming weergegeven van de daadwerkelijk aangeboden zorg. </w:t>
      </w:r>
    </w:p>
    <w:p w:rsidR="0054415E" w:rsidRDefault="0054415E" w:rsidP="0054415E">
      <w:pPr>
        <w:pStyle w:val="NoSpacing"/>
        <w:rPr>
          <w:sz w:val="20"/>
          <w:szCs w:val="20"/>
        </w:rPr>
      </w:pPr>
      <w:r>
        <w:rPr>
          <w:sz w:val="20"/>
          <w:szCs w:val="20"/>
        </w:rPr>
        <w:tab/>
        <w:t>Eén van de speerpunten  binnen de aanvullende en bijzondere zorg is de aanvullende psychosociale zorg binnen de eigen praktijk en de begeleiding van patiënten met psychiatrische aandoeningen in samenwerking met onze POH-GGZ.</w:t>
      </w:r>
    </w:p>
    <w:p w:rsidR="00AC6A1D" w:rsidRDefault="00AC6A1D" w:rsidP="00AC6A1D"/>
    <w:p w:rsidR="00AC6A1D" w:rsidRDefault="00F45A74" w:rsidP="00AC6A1D">
      <w:pPr>
        <w:pStyle w:val="Subtitle"/>
      </w:pPr>
      <w:r>
        <w:br/>
      </w:r>
      <w:r w:rsidR="00AC6A1D">
        <w:t>Aanvullend zorgaanbod</w:t>
      </w:r>
    </w:p>
    <w:p w:rsidR="00AC6A1D" w:rsidRPr="00267E22" w:rsidRDefault="00AC6A1D" w:rsidP="00AC6A1D">
      <w:pPr>
        <w:pStyle w:val="NoSpacing"/>
        <w:numPr>
          <w:ilvl w:val="0"/>
          <w:numId w:val="1"/>
        </w:numPr>
        <w:rPr>
          <w:sz w:val="20"/>
          <w:szCs w:val="20"/>
        </w:rPr>
      </w:pPr>
      <w:r w:rsidRPr="00267E22">
        <w:rPr>
          <w:sz w:val="20"/>
          <w:szCs w:val="20"/>
        </w:rPr>
        <w:t>Polyfarmacie</w:t>
      </w:r>
    </w:p>
    <w:p w:rsidR="00AC6A1D" w:rsidRPr="00267E22" w:rsidRDefault="00AC6A1D" w:rsidP="00AC6A1D">
      <w:pPr>
        <w:pStyle w:val="NoSpacing"/>
        <w:numPr>
          <w:ilvl w:val="0"/>
          <w:numId w:val="1"/>
        </w:numPr>
        <w:rPr>
          <w:sz w:val="20"/>
          <w:szCs w:val="20"/>
        </w:rPr>
      </w:pPr>
      <w:r w:rsidRPr="00267E22">
        <w:rPr>
          <w:sz w:val="20"/>
          <w:szCs w:val="20"/>
        </w:rPr>
        <w:t>Palliatieve en terminale zorg thuis en in hospice</w:t>
      </w:r>
    </w:p>
    <w:p w:rsidR="00AC6A1D" w:rsidRPr="00267E22" w:rsidRDefault="00AC6A1D" w:rsidP="00AC6A1D">
      <w:pPr>
        <w:pStyle w:val="NoSpacing"/>
        <w:numPr>
          <w:ilvl w:val="0"/>
          <w:numId w:val="1"/>
        </w:numPr>
        <w:rPr>
          <w:sz w:val="20"/>
          <w:szCs w:val="20"/>
        </w:rPr>
      </w:pPr>
      <w:r w:rsidRPr="00267E22">
        <w:rPr>
          <w:sz w:val="20"/>
          <w:szCs w:val="20"/>
        </w:rPr>
        <w:t>Begeleiding chronische HIV-patiënten</w:t>
      </w:r>
    </w:p>
    <w:p w:rsidR="00AC6A1D" w:rsidRPr="00267E22" w:rsidRDefault="00AC6A1D" w:rsidP="00AC6A1D">
      <w:pPr>
        <w:pStyle w:val="NoSpacing"/>
        <w:numPr>
          <w:ilvl w:val="0"/>
          <w:numId w:val="1"/>
        </w:numPr>
        <w:rPr>
          <w:sz w:val="20"/>
          <w:szCs w:val="20"/>
        </w:rPr>
      </w:pPr>
      <w:r w:rsidRPr="00267E22">
        <w:rPr>
          <w:sz w:val="20"/>
          <w:szCs w:val="20"/>
        </w:rPr>
        <w:t>Incisie peri-anaal abces</w:t>
      </w:r>
    </w:p>
    <w:p w:rsidR="00AC6A1D" w:rsidRPr="00267E22" w:rsidRDefault="00AC6A1D" w:rsidP="00AC6A1D">
      <w:pPr>
        <w:pStyle w:val="NoSpacing"/>
        <w:numPr>
          <w:ilvl w:val="0"/>
          <w:numId w:val="1"/>
        </w:numPr>
        <w:rPr>
          <w:sz w:val="20"/>
          <w:szCs w:val="20"/>
        </w:rPr>
      </w:pPr>
      <w:r w:rsidRPr="00267E22">
        <w:rPr>
          <w:sz w:val="20"/>
          <w:szCs w:val="20"/>
        </w:rPr>
        <w:t>Oogboring corpus alienum</w:t>
      </w:r>
    </w:p>
    <w:p w:rsidR="00AC6A1D" w:rsidRPr="00267E22" w:rsidRDefault="00AC6A1D" w:rsidP="00AC6A1D">
      <w:pPr>
        <w:pStyle w:val="NoSpacing"/>
        <w:numPr>
          <w:ilvl w:val="0"/>
          <w:numId w:val="1"/>
        </w:numPr>
        <w:rPr>
          <w:sz w:val="20"/>
          <w:szCs w:val="20"/>
        </w:rPr>
      </w:pPr>
      <w:r w:rsidRPr="00267E22">
        <w:rPr>
          <w:sz w:val="20"/>
          <w:szCs w:val="20"/>
        </w:rPr>
        <w:t>Tympanometrie</w:t>
      </w:r>
    </w:p>
    <w:p w:rsidR="00AC6A1D" w:rsidRPr="00267E22" w:rsidRDefault="00AC6A1D" w:rsidP="00AC6A1D">
      <w:pPr>
        <w:pStyle w:val="NoSpacing"/>
        <w:numPr>
          <w:ilvl w:val="0"/>
          <w:numId w:val="1"/>
        </w:numPr>
        <w:rPr>
          <w:sz w:val="20"/>
          <w:szCs w:val="20"/>
        </w:rPr>
      </w:pPr>
      <w:r w:rsidRPr="00267E22">
        <w:rPr>
          <w:sz w:val="20"/>
          <w:szCs w:val="20"/>
        </w:rPr>
        <w:t>24-uurs bloeddrukmeting</w:t>
      </w:r>
    </w:p>
    <w:p w:rsidR="00AC6A1D" w:rsidRPr="00267E22" w:rsidRDefault="00AC6A1D" w:rsidP="00AC6A1D">
      <w:pPr>
        <w:pStyle w:val="NoSpacing"/>
        <w:numPr>
          <w:ilvl w:val="0"/>
          <w:numId w:val="1"/>
        </w:numPr>
        <w:rPr>
          <w:sz w:val="20"/>
          <w:szCs w:val="20"/>
        </w:rPr>
      </w:pPr>
      <w:r w:rsidRPr="00267E22">
        <w:rPr>
          <w:sz w:val="20"/>
          <w:szCs w:val="20"/>
        </w:rPr>
        <w:t>ECG</w:t>
      </w:r>
    </w:p>
    <w:p w:rsidR="00AC6A1D" w:rsidRPr="00267E22" w:rsidRDefault="00AC6A1D" w:rsidP="00AC6A1D">
      <w:pPr>
        <w:pStyle w:val="NoSpacing"/>
        <w:numPr>
          <w:ilvl w:val="0"/>
          <w:numId w:val="1"/>
        </w:numPr>
        <w:rPr>
          <w:sz w:val="20"/>
          <w:szCs w:val="20"/>
        </w:rPr>
      </w:pPr>
      <w:r w:rsidRPr="00267E22">
        <w:rPr>
          <w:sz w:val="20"/>
          <w:szCs w:val="20"/>
        </w:rPr>
        <w:t>Holterfoon/ eventrecorder</w:t>
      </w:r>
    </w:p>
    <w:p w:rsidR="00AC6A1D" w:rsidRPr="00267E22" w:rsidRDefault="00AC6A1D" w:rsidP="00AC6A1D">
      <w:pPr>
        <w:pStyle w:val="NoSpacing"/>
        <w:numPr>
          <w:ilvl w:val="0"/>
          <w:numId w:val="1"/>
        </w:numPr>
        <w:rPr>
          <w:sz w:val="20"/>
          <w:szCs w:val="20"/>
        </w:rPr>
      </w:pPr>
      <w:r w:rsidRPr="00267E22">
        <w:rPr>
          <w:sz w:val="20"/>
          <w:szCs w:val="20"/>
        </w:rPr>
        <w:t>Ambulante Compressie Therapie (zwachtelen) bij ulcus cruris/ tromboflebitis</w:t>
      </w:r>
    </w:p>
    <w:p w:rsidR="00AC6A1D" w:rsidRPr="00267E22" w:rsidRDefault="00AC6A1D" w:rsidP="00AC6A1D">
      <w:pPr>
        <w:pStyle w:val="NoSpacing"/>
        <w:numPr>
          <w:ilvl w:val="0"/>
          <w:numId w:val="1"/>
        </w:numPr>
        <w:rPr>
          <w:sz w:val="20"/>
          <w:szCs w:val="20"/>
        </w:rPr>
      </w:pPr>
      <w:r w:rsidRPr="00267E22">
        <w:rPr>
          <w:sz w:val="20"/>
          <w:szCs w:val="20"/>
        </w:rPr>
        <w:t>Doppler-onderzoek bij Periveer Arterieel Vaatlijden</w:t>
      </w:r>
    </w:p>
    <w:p w:rsidR="00AC6A1D" w:rsidRPr="00267E22" w:rsidRDefault="00AC6A1D" w:rsidP="00AC6A1D">
      <w:pPr>
        <w:pStyle w:val="NoSpacing"/>
        <w:numPr>
          <w:ilvl w:val="0"/>
          <w:numId w:val="1"/>
        </w:numPr>
        <w:rPr>
          <w:sz w:val="20"/>
          <w:szCs w:val="20"/>
        </w:rPr>
      </w:pPr>
      <w:r w:rsidRPr="00267E22">
        <w:rPr>
          <w:sz w:val="20"/>
          <w:szCs w:val="20"/>
        </w:rPr>
        <w:t>Injectie knie, schouder, vinger en heup</w:t>
      </w:r>
    </w:p>
    <w:p w:rsidR="00AC6A1D" w:rsidRPr="00267E22" w:rsidRDefault="00AC6A1D" w:rsidP="00AC6A1D">
      <w:pPr>
        <w:pStyle w:val="NoSpacing"/>
        <w:numPr>
          <w:ilvl w:val="0"/>
          <w:numId w:val="1"/>
        </w:numPr>
        <w:rPr>
          <w:sz w:val="20"/>
          <w:szCs w:val="20"/>
        </w:rPr>
      </w:pPr>
      <w:r w:rsidRPr="00267E22">
        <w:rPr>
          <w:sz w:val="20"/>
          <w:szCs w:val="20"/>
        </w:rPr>
        <w:t>MMSE</w:t>
      </w:r>
    </w:p>
    <w:p w:rsidR="00AC6A1D" w:rsidRPr="00267E22" w:rsidRDefault="00AC6A1D" w:rsidP="00AC6A1D">
      <w:pPr>
        <w:pStyle w:val="NoSpacing"/>
        <w:numPr>
          <w:ilvl w:val="0"/>
          <w:numId w:val="1"/>
        </w:numPr>
        <w:rPr>
          <w:sz w:val="20"/>
          <w:szCs w:val="20"/>
        </w:rPr>
      </w:pPr>
      <w:r w:rsidRPr="00267E22">
        <w:rPr>
          <w:sz w:val="20"/>
          <w:szCs w:val="20"/>
        </w:rPr>
        <w:t>Griepvaccinatie</w:t>
      </w:r>
    </w:p>
    <w:p w:rsidR="00AC6A1D" w:rsidRPr="00267E22" w:rsidRDefault="00AC6A1D" w:rsidP="00AC6A1D">
      <w:pPr>
        <w:pStyle w:val="NoSpacing"/>
        <w:numPr>
          <w:ilvl w:val="0"/>
          <w:numId w:val="1"/>
        </w:numPr>
        <w:rPr>
          <w:sz w:val="20"/>
          <w:szCs w:val="20"/>
        </w:rPr>
      </w:pPr>
      <w:r w:rsidRPr="00267E22">
        <w:rPr>
          <w:sz w:val="20"/>
          <w:szCs w:val="20"/>
        </w:rPr>
        <w:t>Spirometrie</w:t>
      </w:r>
    </w:p>
    <w:p w:rsidR="00AC6A1D" w:rsidRPr="00267E22" w:rsidRDefault="00AC6A1D" w:rsidP="00AC6A1D">
      <w:pPr>
        <w:pStyle w:val="NoSpacing"/>
        <w:numPr>
          <w:ilvl w:val="0"/>
          <w:numId w:val="1"/>
        </w:numPr>
        <w:rPr>
          <w:sz w:val="20"/>
          <w:szCs w:val="20"/>
        </w:rPr>
      </w:pPr>
      <w:r w:rsidRPr="00267E22">
        <w:rPr>
          <w:sz w:val="20"/>
          <w:szCs w:val="20"/>
        </w:rPr>
        <w:t>Verwijderen atheroomcystes, fibromen, naevi (chirurgie, shave, coagulatie)</w:t>
      </w:r>
    </w:p>
    <w:p w:rsidR="00AC6A1D" w:rsidRPr="00267E22" w:rsidRDefault="00AC6A1D" w:rsidP="00AC6A1D">
      <w:pPr>
        <w:pStyle w:val="NoSpacing"/>
        <w:numPr>
          <w:ilvl w:val="0"/>
          <w:numId w:val="1"/>
        </w:numPr>
        <w:rPr>
          <w:sz w:val="20"/>
          <w:szCs w:val="20"/>
        </w:rPr>
      </w:pPr>
      <w:r w:rsidRPr="00267E22">
        <w:rPr>
          <w:sz w:val="20"/>
          <w:szCs w:val="20"/>
        </w:rPr>
        <w:t>Stansbiopt, diagnostisch</w:t>
      </w:r>
    </w:p>
    <w:p w:rsidR="00AC6A1D" w:rsidRPr="00267E22" w:rsidRDefault="00AC6A1D" w:rsidP="00AC6A1D">
      <w:pPr>
        <w:pStyle w:val="NoSpacing"/>
        <w:numPr>
          <w:ilvl w:val="0"/>
          <w:numId w:val="1"/>
        </w:numPr>
        <w:rPr>
          <w:sz w:val="20"/>
          <w:szCs w:val="20"/>
        </w:rPr>
      </w:pPr>
      <w:r w:rsidRPr="00267E22">
        <w:rPr>
          <w:sz w:val="20"/>
          <w:szCs w:val="20"/>
        </w:rPr>
        <w:t>Teledermatologie</w:t>
      </w:r>
    </w:p>
    <w:p w:rsidR="00AC6A1D" w:rsidRPr="00267E22" w:rsidRDefault="00AC6A1D" w:rsidP="00AC6A1D">
      <w:pPr>
        <w:pStyle w:val="NoSpacing"/>
        <w:numPr>
          <w:ilvl w:val="0"/>
          <w:numId w:val="1"/>
        </w:numPr>
        <w:rPr>
          <w:sz w:val="20"/>
          <w:szCs w:val="20"/>
        </w:rPr>
      </w:pPr>
      <w:r w:rsidRPr="00267E22">
        <w:rPr>
          <w:sz w:val="20"/>
          <w:szCs w:val="20"/>
        </w:rPr>
        <w:t>Opmeten en aanpassen pessaria</w:t>
      </w:r>
    </w:p>
    <w:p w:rsidR="00AC6A1D" w:rsidRPr="00267E22" w:rsidRDefault="00AC6A1D" w:rsidP="00AC6A1D">
      <w:pPr>
        <w:pStyle w:val="NoSpacing"/>
        <w:numPr>
          <w:ilvl w:val="0"/>
          <w:numId w:val="1"/>
        </w:numPr>
        <w:rPr>
          <w:sz w:val="20"/>
          <w:szCs w:val="20"/>
        </w:rPr>
      </w:pPr>
      <w:r w:rsidRPr="00267E22">
        <w:rPr>
          <w:sz w:val="20"/>
          <w:szCs w:val="20"/>
        </w:rPr>
        <w:t>Plaatsen IUD (i.s.m. praktijk dr. van Kessel)</w:t>
      </w:r>
    </w:p>
    <w:p w:rsidR="00AC6A1D" w:rsidRPr="00267E22" w:rsidRDefault="00AC6A1D" w:rsidP="00AC6A1D">
      <w:pPr>
        <w:pStyle w:val="NoSpacing"/>
        <w:numPr>
          <w:ilvl w:val="0"/>
          <w:numId w:val="1"/>
        </w:numPr>
        <w:rPr>
          <w:sz w:val="20"/>
          <w:szCs w:val="20"/>
        </w:rPr>
      </w:pPr>
      <w:r w:rsidRPr="00267E22">
        <w:rPr>
          <w:sz w:val="20"/>
          <w:szCs w:val="20"/>
        </w:rPr>
        <w:t>Cervixswab i.h.k.v. bevolkingsonderzoek baarmoederhalskanker</w:t>
      </w:r>
    </w:p>
    <w:p w:rsidR="00AC6A1D" w:rsidRPr="00267E22" w:rsidRDefault="00AC6A1D" w:rsidP="00AC6A1D">
      <w:pPr>
        <w:pStyle w:val="NoSpacing"/>
        <w:numPr>
          <w:ilvl w:val="0"/>
          <w:numId w:val="1"/>
        </w:numPr>
        <w:rPr>
          <w:sz w:val="20"/>
          <w:szCs w:val="20"/>
        </w:rPr>
      </w:pPr>
      <w:r w:rsidRPr="00267E22">
        <w:rPr>
          <w:sz w:val="20"/>
          <w:szCs w:val="20"/>
        </w:rPr>
        <w:t>Hechtingen verwijderen na ingreep specialist</w:t>
      </w:r>
    </w:p>
    <w:p w:rsidR="00AC6A1D" w:rsidRPr="00267E22" w:rsidRDefault="00AC6A1D" w:rsidP="00AC6A1D">
      <w:pPr>
        <w:pStyle w:val="NoSpacing"/>
        <w:numPr>
          <w:ilvl w:val="0"/>
          <w:numId w:val="1"/>
        </w:numPr>
        <w:rPr>
          <w:sz w:val="20"/>
          <w:szCs w:val="20"/>
        </w:rPr>
      </w:pPr>
      <w:r w:rsidRPr="00267E22">
        <w:rPr>
          <w:sz w:val="20"/>
          <w:szCs w:val="20"/>
        </w:rPr>
        <w:t>Zoladex-injectie</w:t>
      </w:r>
    </w:p>
    <w:p w:rsidR="00AC6A1D" w:rsidRPr="00267E22" w:rsidRDefault="00AC6A1D" w:rsidP="00AC6A1D">
      <w:pPr>
        <w:pStyle w:val="NoSpacing"/>
        <w:numPr>
          <w:ilvl w:val="0"/>
          <w:numId w:val="1"/>
        </w:numPr>
        <w:rPr>
          <w:sz w:val="20"/>
          <w:szCs w:val="20"/>
        </w:rPr>
      </w:pPr>
      <w:r w:rsidRPr="00267E22">
        <w:rPr>
          <w:sz w:val="20"/>
          <w:szCs w:val="20"/>
        </w:rPr>
        <w:t>MRSA-diagnostiek</w:t>
      </w:r>
    </w:p>
    <w:p w:rsidR="00AC6A1D" w:rsidRPr="00267E22" w:rsidRDefault="00AC6A1D" w:rsidP="00AC6A1D">
      <w:pPr>
        <w:pStyle w:val="NoSpacing"/>
        <w:numPr>
          <w:ilvl w:val="0"/>
          <w:numId w:val="1"/>
        </w:numPr>
        <w:rPr>
          <w:sz w:val="20"/>
          <w:szCs w:val="20"/>
        </w:rPr>
      </w:pPr>
      <w:r w:rsidRPr="00267E22">
        <w:rPr>
          <w:sz w:val="20"/>
          <w:szCs w:val="20"/>
        </w:rPr>
        <w:t>CVRM-screening</w:t>
      </w:r>
    </w:p>
    <w:p w:rsidR="00AC6A1D" w:rsidRPr="00267E22" w:rsidRDefault="00AC6A1D" w:rsidP="00AC6A1D">
      <w:pPr>
        <w:pStyle w:val="NoSpacing"/>
        <w:numPr>
          <w:ilvl w:val="0"/>
          <w:numId w:val="1"/>
        </w:numPr>
        <w:rPr>
          <w:sz w:val="20"/>
          <w:szCs w:val="20"/>
        </w:rPr>
      </w:pPr>
      <w:r w:rsidRPr="00267E22">
        <w:rPr>
          <w:sz w:val="20"/>
          <w:szCs w:val="20"/>
        </w:rPr>
        <w:lastRenderedPageBreak/>
        <w:t>POHGGZ-inzet bij specifieke groepen die vallen buiten de aandoeningen uit het basisaanbod, o.a.: chronisch psychiatrische patiënten in stabiele fase, psychogeriatrie (verzorgingshuizen) en zorgwekkende zorgmijders</w:t>
      </w:r>
    </w:p>
    <w:p w:rsidR="00AC6A1D" w:rsidRPr="00267E22" w:rsidRDefault="00AC6A1D" w:rsidP="00AC6A1D">
      <w:pPr>
        <w:pStyle w:val="NoSpacing"/>
        <w:numPr>
          <w:ilvl w:val="0"/>
          <w:numId w:val="1"/>
        </w:numPr>
        <w:rPr>
          <w:sz w:val="20"/>
          <w:szCs w:val="20"/>
        </w:rPr>
      </w:pPr>
      <w:r w:rsidRPr="00267E22">
        <w:rPr>
          <w:sz w:val="20"/>
          <w:szCs w:val="20"/>
        </w:rPr>
        <w:t>Systemische interventie Stoppen Met Roken</w:t>
      </w:r>
    </w:p>
    <w:p w:rsidR="00AC6A1D" w:rsidRPr="00267E22" w:rsidRDefault="00AC6A1D" w:rsidP="00AC6A1D">
      <w:pPr>
        <w:pStyle w:val="NoSpacing"/>
        <w:numPr>
          <w:ilvl w:val="0"/>
          <w:numId w:val="1"/>
        </w:numPr>
        <w:rPr>
          <w:sz w:val="20"/>
          <w:szCs w:val="20"/>
        </w:rPr>
      </w:pPr>
      <w:r w:rsidRPr="00267E22">
        <w:rPr>
          <w:sz w:val="20"/>
          <w:szCs w:val="20"/>
        </w:rPr>
        <w:t>Programmistische zorg bij astma, COPD, CVRM en DM (disease management en behandeling insuleafhankelijke DM)</w:t>
      </w:r>
    </w:p>
    <w:p w:rsidR="00AC6A1D" w:rsidRDefault="00AC6A1D" w:rsidP="00AC6A1D">
      <w:pPr>
        <w:pStyle w:val="NoSpacing"/>
      </w:pPr>
    </w:p>
    <w:p w:rsidR="00AC6A1D" w:rsidRDefault="00AC6A1D" w:rsidP="00AC6A1D">
      <w:pPr>
        <w:pStyle w:val="Subtitle"/>
      </w:pPr>
    </w:p>
    <w:p w:rsidR="00AC6A1D" w:rsidRDefault="00AC6A1D" w:rsidP="00AC6A1D">
      <w:pPr>
        <w:pStyle w:val="Subtitle"/>
      </w:pPr>
      <w:r>
        <w:t>Aanvullend zorgaanbod, in ontwikkeling</w:t>
      </w:r>
    </w:p>
    <w:p w:rsidR="00AC6A1D" w:rsidRPr="00267E22" w:rsidRDefault="00AC6A1D" w:rsidP="00AC6A1D">
      <w:pPr>
        <w:pStyle w:val="NoSpacing"/>
        <w:numPr>
          <w:ilvl w:val="0"/>
          <w:numId w:val="2"/>
        </w:numPr>
        <w:rPr>
          <w:sz w:val="20"/>
          <w:szCs w:val="20"/>
        </w:rPr>
      </w:pPr>
      <w:r w:rsidRPr="00267E22">
        <w:rPr>
          <w:sz w:val="20"/>
          <w:szCs w:val="20"/>
        </w:rPr>
        <w:t>Geprotocolleerde opsporing osteoporose</w:t>
      </w:r>
    </w:p>
    <w:p w:rsidR="00AC6A1D" w:rsidRDefault="00AC6A1D" w:rsidP="00AC6A1D">
      <w:pPr>
        <w:pStyle w:val="NoSpacing"/>
      </w:pPr>
    </w:p>
    <w:p w:rsidR="00AC6A1D" w:rsidRDefault="00AC6A1D" w:rsidP="00AC6A1D">
      <w:pPr>
        <w:pStyle w:val="NoSpacing"/>
      </w:pPr>
    </w:p>
    <w:p w:rsidR="00AC6A1D" w:rsidRDefault="00AC6A1D" w:rsidP="00AC6A1D">
      <w:pPr>
        <w:pStyle w:val="Subtitle"/>
      </w:pPr>
      <w:r>
        <w:t>Bijzonder zorgaanbod</w:t>
      </w:r>
    </w:p>
    <w:p w:rsidR="00AC6A1D" w:rsidRPr="00267E22" w:rsidRDefault="00AC6A1D" w:rsidP="00AC6A1D">
      <w:pPr>
        <w:pStyle w:val="NoSpacing"/>
        <w:numPr>
          <w:ilvl w:val="0"/>
          <w:numId w:val="2"/>
        </w:numPr>
        <w:rPr>
          <w:sz w:val="20"/>
          <w:szCs w:val="20"/>
        </w:rPr>
      </w:pPr>
      <w:r w:rsidRPr="00267E22">
        <w:rPr>
          <w:sz w:val="20"/>
          <w:szCs w:val="20"/>
        </w:rPr>
        <w:t>Ouderenzorg bij WLZ-geïndiceerden (vanaf ZZP4)</w:t>
      </w:r>
    </w:p>
    <w:p w:rsidR="00AC6A1D" w:rsidRPr="00267E22" w:rsidRDefault="00AC6A1D" w:rsidP="00AC6A1D">
      <w:pPr>
        <w:pStyle w:val="NoSpacing"/>
        <w:numPr>
          <w:ilvl w:val="0"/>
          <w:numId w:val="2"/>
        </w:numPr>
        <w:rPr>
          <w:sz w:val="20"/>
          <w:szCs w:val="20"/>
        </w:rPr>
      </w:pPr>
      <w:r w:rsidRPr="00267E22">
        <w:rPr>
          <w:sz w:val="20"/>
          <w:szCs w:val="20"/>
        </w:rPr>
        <w:t>Psychosociale hulpverlening bij LHBT(Q)-gerelateerde problematiek</w:t>
      </w:r>
    </w:p>
    <w:p w:rsidR="00AC6A1D" w:rsidRPr="00267E22" w:rsidRDefault="00AC6A1D" w:rsidP="00AC6A1D">
      <w:pPr>
        <w:pStyle w:val="NoSpacing"/>
        <w:numPr>
          <w:ilvl w:val="0"/>
          <w:numId w:val="2"/>
        </w:numPr>
        <w:rPr>
          <w:sz w:val="20"/>
          <w:szCs w:val="20"/>
        </w:rPr>
      </w:pPr>
      <w:r w:rsidRPr="00267E22">
        <w:rPr>
          <w:sz w:val="20"/>
          <w:szCs w:val="20"/>
        </w:rPr>
        <w:t xml:space="preserve">Kaderartsen </w:t>
      </w:r>
      <w:r w:rsidRPr="00267E22">
        <w:rPr>
          <w:i/>
          <w:sz w:val="20"/>
          <w:szCs w:val="20"/>
        </w:rPr>
        <w:t>Supervisie en Coaching</w:t>
      </w:r>
    </w:p>
    <w:p w:rsidR="00AC6A1D" w:rsidRPr="00267E22" w:rsidRDefault="00AC6A1D" w:rsidP="00AC6A1D">
      <w:pPr>
        <w:pStyle w:val="NoSpacing"/>
        <w:numPr>
          <w:ilvl w:val="0"/>
          <w:numId w:val="2"/>
        </w:numPr>
        <w:rPr>
          <w:sz w:val="20"/>
          <w:szCs w:val="20"/>
        </w:rPr>
      </w:pPr>
      <w:r w:rsidRPr="00267E22">
        <w:rPr>
          <w:sz w:val="20"/>
          <w:szCs w:val="20"/>
        </w:rPr>
        <w:t xml:space="preserve">Kaderarts </w:t>
      </w:r>
      <w:r w:rsidRPr="00267E22">
        <w:rPr>
          <w:i/>
          <w:sz w:val="20"/>
          <w:szCs w:val="20"/>
        </w:rPr>
        <w:t>Palliatieve zorg</w:t>
      </w:r>
    </w:p>
    <w:p w:rsidR="00AC6A1D" w:rsidRDefault="00AC6A1D" w:rsidP="00AC6A1D">
      <w:pPr>
        <w:spacing w:after="0" w:line="240" w:lineRule="auto"/>
        <w:contextualSpacing/>
        <w:rPr>
          <w:rFonts w:ascii="Arial" w:hAnsi="Arial" w:cs="Arial"/>
          <w:b/>
          <w:i/>
          <w:sz w:val="20"/>
          <w:szCs w:val="20"/>
        </w:rPr>
      </w:pPr>
    </w:p>
    <w:p w:rsidR="00AC6A1D" w:rsidRPr="000E57C8" w:rsidRDefault="00AC6A1D" w:rsidP="00AC6A1D">
      <w:pPr>
        <w:spacing w:after="0" w:line="240" w:lineRule="auto"/>
        <w:contextualSpacing/>
        <w:rPr>
          <w:rFonts w:ascii="Times New Roman" w:hAnsi="Times New Roman"/>
          <w:i/>
          <w:sz w:val="20"/>
          <w:szCs w:val="20"/>
        </w:rPr>
      </w:pPr>
    </w:p>
    <w:p w:rsidR="00920492" w:rsidRDefault="00920492"/>
    <w:sectPr w:rsidR="00920492" w:rsidSect="009F20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957" w:rsidRDefault="00317957" w:rsidP="0054415E">
      <w:pPr>
        <w:spacing w:after="0" w:line="240" w:lineRule="auto"/>
      </w:pPr>
      <w:r>
        <w:separator/>
      </w:r>
    </w:p>
  </w:endnote>
  <w:endnote w:type="continuationSeparator" w:id="0">
    <w:p w:rsidR="00317957" w:rsidRDefault="00317957" w:rsidP="0054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957" w:rsidRDefault="00317957" w:rsidP="0054415E">
      <w:pPr>
        <w:spacing w:after="0" w:line="240" w:lineRule="auto"/>
      </w:pPr>
      <w:r>
        <w:separator/>
      </w:r>
    </w:p>
  </w:footnote>
  <w:footnote w:type="continuationSeparator" w:id="0">
    <w:p w:rsidR="00317957" w:rsidRDefault="00317957" w:rsidP="0054415E">
      <w:pPr>
        <w:spacing w:after="0" w:line="240" w:lineRule="auto"/>
      </w:pPr>
      <w:r>
        <w:continuationSeparator/>
      </w:r>
    </w:p>
  </w:footnote>
  <w:footnote w:id="1">
    <w:p w:rsidR="0054415E" w:rsidRDefault="0054415E" w:rsidP="0054415E">
      <w:pPr>
        <w:pStyle w:val="FootnoteText"/>
      </w:pPr>
      <w:r>
        <w:rPr>
          <w:rStyle w:val="FootnoteReference"/>
        </w:rPr>
        <w:footnoteRef/>
      </w:r>
      <w:r>
        <w:t xml:space="preserve"> </w:t>
      </w:r>
      <w:r>
        <w:rPr>
          <w:i/>
        </w:rPr>
        <w:t>Standpunt kernwaarden huisartsgeneeskundige zorg, NHG/LHV, 2011/2012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B5C07"/>
    <w:multiLevelType w:val="hybridMultilevel"/>
    <w:tmpl w:val="72525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91B37E8"/>
    <w:multiLevelType w:val="hybridMultilevel"/>
    <w:tmpl w:val="F328CEA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1D"/>
    <w:rsid w:val="00317957"/>
    <w:rsid w:val="0054415E"/>
    <w:rsid w:val="00590528"/>
    <w:rsid w:val="005D4DAD"/>
    <w:rsid w:val="00920492"/>
    <w:rsid w:val="00A8728F"/>
    <w:rsid w:val="00AC6A1D"/>
    <w:rsid w:val="00F45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6A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A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6A1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C6A1D"/>
    <w:rPr>
      <w:rFonts w:eastAsiaTheme="minorEastAsia"/>
      <w:color w:val="5A5A5A" w:themeColor="text1" w:themeTint="A5"/>
      <w:spacing w:val="15"/>
    </w:rPr>
  </w:style>
  <w:style w:type="paragraph" w:styleId="NoSpacing">
    <w:name w:val="No Spacing"/>
    <w:uiPriority w:val="1"/>
    <w:qFormat/>
    <w:rsid w:val="00AC6A1D"/>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544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15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441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A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6A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6A1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C6A1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C6A1D"/>
    <w:rPr>
      <w:rFonts w:eastAsiaTheme="minorEastAsia"/>
      <w:color w:val="5A5A5A" w:themeColor="text1" w:themeTint="A5"/>
      <w:spacing w:val="15"/>
    </w:rPr>
  </w:style>
  <w:style w:type="paragraph" w:styleId="NoSpacing">
    <w:name w:val="No Spacing"/>
    <w:uiPriority w:val="1"/>
    <w:qFormat/>
    <w:rsid w:val="00AC6A1D"/>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5441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15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544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2206</Characters>
  <Application>Microsoft Office Word</Application>
  <DocSecurity>0</DocSecurity>
  <Lines>18</Lines>
  <Paragraphs>5</Paragraphs>
  <ScaleCrop>false</ScaleCrop>
  <Company>Microsoft</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ass4</dc:creator>
  <cp:lastModifiedBy>Ralph van der Meulen</cp:lastModifiedBy>
  <cp:revision>2</cp:revision>
  <dcterms:created xsi:type="dcterms:W3CDTF">2016-10-02T17:42:00Z</dcterms:created>
  <dcterms:modified xsi:type="dcterms:W3CDTF">2016-10-02T17:42:00Z</dcterms:modified>
</cp:coreProperties>
</file>